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0104" w14:textId="77777777" w:rsidR="00C268EC" w:rsidRDefault="005E554F">
      <w:pPr>
        <w:pStyle w:val="Standard"/>
        <w:spacing w:after="120" w:line="264" w:lineRule="auto"/>
      </w:pPr>
      <w:r>
        <w:rPr>
          <w:noProof/>
        </w:rPr>
        <w:drawing>
          <wp:inline distT="0" distB="0" distL="0" distR="0" wp14:anchorId="13010104" wp14:editId="13010105">
            <wp:extent cx="2152771" cy="828720"/>
            <wp:effectExtent l="0" t="0" r="0" b="94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152771" cy="828720"/>
                    </a:xfrm>
                    <a:prstGeom prst="rect">
                      <a:avLst/>
                    </a:prstGeom>
                    <a:noFill/>
                    <a:ln>
                      <a:noFill/>
                      <a:prstDash/>
                    </a:ln>
                  </pic:spPr>
                </pic:pic>
              </a:graphicData>
            </a:graphic>
          </wp:inline>
        </w:drawing>
      </w:r>
    </w:p>
    <w:p w14:paraId="13010113" w14:textId="5B9C3FC1" w:rsidR="00C268EC" w:rsidRDefault="005E554F">
      <w:pPr>
        <w:pStyle w:val="Title"/>
        <w:spacing w:after="120" w:line="264" w:lineRule="auto"/>
        <w:jc w:val="center"/>
      </w:pPr>
      <w:r>
        <w:t xml:space="preserve">Carbon Reduction Plan </w:t>
      </w:r>
    </w:p>
    <w:p w14:paraId="13010114" w14:textId="50884BC2" w:rsidR="00C268EC" w:rsidRDefault="005E554F">
      <w:pPr>
        <w:pStyle w:val="Standard"/>
        <w:spacing w:after="120" w:line="264" w:lineRule="auto"/>
        <w:jc w:val="both"/>
      </w:pPr>
      <w:r>
        <w:rPr>
          <w:sz w:val="28"/>
          <w:szCs w:val="28"/>
        </w:rPr>
        <w:t>Supplier name:</w:t>
      </w:r>
      <w:r>
        <w:t xml:space="preserve"> Energy Saving Trust </w:t>
      </w:r>
    </w:p>
    <w:p w14:paraId="13010115" w14:textId="43A6A715" w:rsidR="00C268EC" w:rsidRDefault="005E554F">
      <w:pPr>
        <w:pStyle w:val="Standard"/>
        <w:spacing w:after="120" w:line="264" w:lineRule="auto"/>
        <w:jc w:val="both"/>
      </w:pPr>
      <w:r>
        <w:rPr>
          <w:sz w:val="28"/>
          <w:szCs w:val="28"/>
        </w:rPr>
        <w:t>Publication date:</w:t>
      </w:r>
      <w:r>
        <w:t xml:space="preserve"> </w:t>
      </w:r>
      <w:r w:rsidR="00531A6D">
        <w:t>September</w:t>
      </w:r>
      <w:r>
        <w:t xml:space="preserve"> 2023</w:t>
      </w:r>
    </w:p>
    <w:p w14:paraId="13010116" w14:textId="77777777" w:rsidR="00C268EC" w:rsidRDefault="005E554F">
      <w:pPr>
        <w:pStyle w:val="Heading1"/>
        <w:spacing w:before="360" w:line="264" w:lineRule="auto"/>
        <w:jc w:val="both"/>
      </w:pPr>
      <w:bookmarkStart w:id="0" w:name="_heading=h.30j0zll"/>
      <w:bookmarkEnd w:id="0"/>
      <w:r>
        <w:rPr>
          <w:b/>
          <w:sz w:val="28"/>
          <w:szCs w:val="28"/>
        </w:rPr>
        <w:t>Commitment to achieving Net Zero</w:t>
      </w:r>
    </w:p>
    <w:p w14:paraId="13010117" w14:textId="77777777" w:rsidR="00C268EC" w:rsidRDefault="005E554F">
      <w:pPr>
        <w:pStyle w:val="Heading1"/>
        <w:keepNext w:val="0"/>
        <w:keepLines w:val="0"/>
        <w:spacing w:before="0" w:line="264" w:lineRule="auto"/>
        <w:jc w:val="both"/>
      </w:pPr>
      <w:bookmarkStart w:id="1" w:name="_heading=h.1fob9te"/>
      <w:bookmarkEnd w:id="1"/>
      <w:r>
        <w:rPr>
          <w:sz w:val="22"/>
          <w:szCs w:val="22"/>
        </w:rPr>
        <w:t>Energy Saving Trust is committed to achieving Net Zero emissions by 2045.</w:t>
      </w:r>
    </w:p>
    <w:p w14:paraId="13010118" w14:textId="77777777" w:rsidR="00C268EC" w:rsidRDefault="005E554F">
      <w:pPr>
        <w:pStyle w:val="Heading1"/>
        <w:spacing w:before="360" w:line="264" w:lineRule="auto"/>
        <w:jc w:val="both"/>
      </w:pPr>
      <w:bookmarkStart w:id="2" w:name="_heading=h.3znysh7"/>
      <w:bookmarkEnd w:id="2"/>
      <w:r>
        <w:rPr>
          <w:b/>
          <w:sz w:val="28"/>
          <w:szCs w:val="28"/>
        </w:rPr>
        <w:t>Baseline Emissions Footprint</w:t>
      </w:r>
    </w:p>
    <w:p w14:paraId="1301011B" w14:textId="7FD224AD" w:rsidR="00C268EC" w:rsidRDefault="005E554F">
      <w:pPr>
        <w:pStyle w:val="Standard"/>
      </w:pPr>
      <w: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C268EC" w14:paraId="1301011D"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1C" w14:textId="77777777" w:rsidR="00C268EC" w:rsidRDefault="005E554F">
            <w:pPr>
              <w:pStyle w:val="Standard"/>
              <w:spacing w:after="120" w:line="264" w:lineRule="auto"/>
              <w:jc w:val="both"/>
            </w:pPr>
            <w:r>
              <w:rPr>
                <w:b/>
              </w:rPr>
              <w:t>Baseline Year: 01.04.2020 – 31.03.2021</w:t>
            </w:r>
          </w:p>
        </w:tc>
      </w:tr>
      <w:tr w:rsidR="00C268EC" w14:paraId="1301011F"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1E" w14:textId="77777777" w:rsidR="00C268EC" w:rsidRDefault="005E554F">
            <w:pPr>
              <w:pStyle w:val="Standard"/>
              <w:spacing w:after="120" w:line="264" w:lineRule="auto"/>
              <w:jc w:val="both"/>
            </w:pPr>
            <w:r>
              <w:rPr>
                <w:b/>
              </w:rPr>
              <w:t>Additional Details relating to the Baseline Emissions calculations.</w:t>
            </w:r>
          </w:p>
        </w:tc>
      </w:tr>
      <w:tr w:rsidR="00C268EC" w14:paraId="13010128"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20" w14:textId="77777777" w:rsidR="00C268EC" w:rsidRDefault="005E554F">
            <w:pPr>
              <w:spacing w:after="120" w:line="266" w:lineRule="auto"/>
              <w:jc w:val="both"/>
            </w:pPr>
            <w:r>
              <w:t>We acknowledge that the data gathered from our baseline year (financial year 2020 – 2021) does not represent pre-pandemic business as usual. Due to the COVID-19 pandemic, all Energy Saving Trust offices lay vacant, almost all employees worked from home, commuting ceased and business travel almost entirely halted through the entirety of our baseline year. Our emissions footprint for 2020-21 financial year was significantly smaller than if we were able to use data from the previous (pre-pandemic) 2019-20 financial year. Most of the emissions reduction between those two years would be generated from Government-mandated COVID-19 response (ie. lockdowns, travel restrictions).</w:t>
            </w:r>
          </w:p>
          <w:p w14:paraId="13010121" w14:textId="77777777" w:rsidR="00C268EC" w:rsidRDefault="005E554F">
            <w:pPr>
              <w:spacing w:after="120" w:line="266" w:lineRule="auto"/>
              <w:jc w:val="both"/>
            </w:pPr>
            <w:r>
              <w:t>As we emerged into a new working world from COVID-19, we recognise that the emissions footprints from certain areas (office working, business travel) rose again.</w:t>
            </w:r>
          </w:p>
          <w:p w14:paraId="13010122" w14:textId="77777777" w:rsidR="00C268EC" w:rsidRDefault="005E554F">
            <w:pPr>
              <w:spacing w:after="120" w:line="266" w:lineRule="auto"/>
              <w:jc w:val="both"/>
            </w:pPr>
            <w:r>
              <w:t>Despite data from the financial year 2020-21 not being entirely representative of business as usual, we have made the considered decision to use this data as our baseline year because;</w:t>
            </w:r>
          </w:p>
          <w:p w14:paraId="13010123" w14:textId="77777777" w:rsidR="00C268EC" w:rsidRDefault="005E554F">
            <w:pPr>
              <w:pStyle w:val="ListParagraph"/>
              <w:numPr>
                <w:ilvl w:val="0"/>
                <w:numId w:val="4"/>
              </w:numPr>
              <w:spacing w:after="120" w:line="266" w:lineRule="auto"/>
              <w:jc w:val="both"/>
            </w:pPr>
            <w:r>
              <w:t>It is the most complete emissions data set that we have. We do not have a full emissions data set from financial year 2019-20.</w:t>
            </w:r>
          </w:p>
          <w:p w14:paraId="13010124" w14:textId="08279786" w:rsidR="00C268EC" w:rsidRDefault="005E554F">
            <w:pPr>
              <w:pStyle w:val="ListParagraph"/>
              <w:numPr>
                <w:ilvl w:val="0"/>
                <w:numId w:val="4"/>
              </w:numPr>
              <w:spacing w:after="120" w:line="266" w:lineRule="auto"/>
              <w:jc w:val="both"/>
            </w:pPr>
            <w:r>
              <w:t xml:space="preserve">We are prioritising beginning our journey towards </w:t>
            </w:r>
            <w:r w:rsidR="00391612">
              <w:t>n</w:t>
            </w:r>
            <w:r>
              <w:t xml:space="preserve">et </w:t>
            </w:r>
            <w:r w:rsidR="00391612">
              <w:t>z</w:t>
            </w:r>
            <w:r>
              <w:t xml:space="preserve">ero as soon as possible instead of waiting another year to collect baseline data that may or may not be more representative of business as usual. We believe progress towards </w:t>
            </w:r>
            <w:r w:rsidR="00391612">
              <w:t>n</w:t>
            </w:r>
            <w:r>
              <w:t xml:space="preserve">et </w:t>
            </w:r>
            <w:r w:rsidR="00391612">
              <w:t>z</w:t>
            </w:r>
            <w:r>
              <w:t>ero is urgent.</w:t>
            </w:r>
          </w:p>
          <w:p w14:paraId="13010125" w14:textId="77777777" w:rsidR="00C268EC" w:rsidRDefault="005E554F">
            <w:pPr>
              <w:pStyle w:val="ListParagraph"/>
              <w:numPr>
                <w:ilvl w:val="0"/>
                <w:numId w:val="4"/>
              </w:numPr>
              <w:spacing w:after="120" w:line="266" w:lineRule="auto"/>
              <w:jc w:val="both"/>
            </w:pPr>
            <w:r>
              <w:t>It was impossible to predict the course of the COVID-19 pandemic; Government-mandated policies to curb the pandemic were likely to affect our emissions through financial year 2021-22.</w:t>
            </w:r>
          </w:p>
          <w:p w14:paraId="13010126" w14:textId="77777777" w:rsidR="00C268EC" w:rsidRDefault="005E554F">
            <w:pPr>
              <w:pStyle w:val="ListParagraph"/>
              <w:numPr>
                <w:ilvl w:val="0"/>
                <w:numId w:val="4"/>
              </w:numPr>
              <w:spacing w:after="120" w:line="266" w:lineRule="auto"/>
              <w:jc w:val="both"/>
            </w:pPr>
            <w:r>
              <w:t>We believe re-emerging to a new business as usual from the COVID-19 pandemic presents a good opportunity to implement new policies to decarbonise our operations.</w:t>
            </w:r>
            <w:r>
              <w:rPr>
                <w:rFonts w:ascii="Times New Roman" w:hAnsi="Times New Roman" w:cs="Times New Roman"/>
                <w:lang w:eastAsia="en-GB"/>
              </w:rPr>
              <w:t xml:space="preserve"> </w:t>
            </w:r>
          </w:p>
          <w:p w14:paraId="13010127" w14:textId="77777777" w:rsidR="00C268EC" w:rsidRDefault="005E554F">
            <w:pPr>
              <w:pStyle w:val="Standard"/>
              <w:spacing w:after="120" w:line="264" w:lineRule="auto"/>
              <w:jc w:val="both"/>
            </w:pPr>
            <w:r>
              <w:lastRenderedPageBreak/>
              <w:t>I</w:t>
            </w:r>
            <w:r>
              <w:rPr>
                <w:lang w:eastAsia="en-US"/>
              </w:rPr>
              <w:t>n April 2022, Energy Saving Trust acquired Solstice Associates. This acquisition falls within the 2021-22 reporting period and Solstice Associates fall under the organisational boundary (as defined by our consolidation approach) of Energy Saving Trust. As such, the GHG Protocol necessitates that base year emissions should be recalculated including this acquisition, because the acquisition exceeds the materiality threshold. The base year emissions presented in this report were therefore recalculated and baseline year emissions given include those of Solstice Associates.</w:t>
            </w:r>
          </w:p>
        </w:tc>
      </w:tr>
      <w:tr w:rsidR="00C268EC" w14:paraId="1301012A"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29" w14:textId="77777777" w:rsidR="00C268EC" w:rsidRDefault="005E554F">
            <w:pPr>
              <w:pStyle w:val="Standard"/>
              <w:spacing w:after="120" w:line="264" w:lineRule="auto"/>
              <w:jc w:val="both"/>
            </w:pPr>
            <w:r>
              <w:rPr>
                <w:b/>
              </w:rPr>
              <w:lastRenderedPageBreak/>
              <w:t>Baseline year emissions:</w:t>
            </w:r>
          </w:p>
        </w:tc>
      </w:tr>
      <w:tr w:rsidR="00C268EC" w14:paraId="1301012D" w14:textId="77777777">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2B" w14:textId="77777777" w:rsidR="00C268EC" w:rsidRDefault="005E554F">
            <w:pPr>
              <w:pStyle w:val="Standard"/>
              <w:spacing w:after="120" w:line="264"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301012C" w14:textId="77777777" w:rsidR="00C268EC" w:rsidRDefault="005E554F">
            <w:pPr>
              <w:pStyle w:val="Standard"/>
              <w:spacing w:after="120" w:line="264" w:lineRule="auto"/>
              <w:jc w:val="both"/>
            </w:pPr>
            <w:r>
              <w:rPr>
                <w:b/>
              </w:rPr>
              <w:t>TOTAL (tCO</w:t>
            </w:r>
            <w:r>
              <w:rPr>
                <w:b/>
                <w:vertAlign w:val="subscript"/>
              </w:rPr>
              <w:t>2</w:t>
            </w:r>
            <w:r>
              <w:rPr>
                <w:b/>
              </w:rPr>
              <w:t>e)</w:t>
            </w:r>
          </w:p>
        </w:tc>
      </w:tr>
      <w:tr w:rsidR="00C268EC" w14:paraId="13010130"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2E" w14:textId="77777777" w:rsidR="00C268EC" w:rsidRDefault="005E554F">
            <w:pPr>
              <w:pStyle w:val="Standard"/>
              <w:spacing w:after="120" w:line="264" w:lineRule="auto"/>
              <w:jc w:val="both"/>
            </w:pPr>
            <w:r>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301012F" w14:textId="77777777" w:rsidR="00C268EC" w:rsidRDefault="005E554F">
            <w:pPr>
              <w:pStyle w:val="Standard"/>
              <w:spacing w:after="120" w:line="264" w:lineRule="auto"/>
              <w:jc w:val="both"/>
            </w:pPr>
            <w:r>
              <w:rPr>
                <w:b/>
              </w:rPr>
              <w:t>0.93</w:t>
            </w:r>
          </w:p>
        </w:tc>
      </w:tr>
      <w:tr w:rsidR="00C268EC" w14:paraId="13010133"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31" w14:textId="77777777" w:rsidR="00C268EC" w:rsidRDefault="005E554F">
            <w:pPr>
              <w:pStyle w:val="Standard"/>
              <w:spacing w:after="120" w:line="264"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3010132" w14:textId="77777777" w:rsidR="00C268EC" w:rsidRPr="0005039A" w:rsidRDefault="005E554F">
            <w:pPr>
              <w:pStyle w:val="Standard"/>
              <w:spacing w:after="120" w:line="264" w:lineRule="auto"/>
              <w:jc w:val="both"/>
              <w:rPr>
                <w:b/>
              </w:rPr>
            </w:pPr>
            <w:r w:rsidRPr="0005039A">
              <w:rPr>
                <w:b/>
              </w:rPr>
              <w:t>69</w:t>
            </w:r>
            <w:r>
              <w:rPr>
                <w:b/>
              </w:rPr>
              <w:t>.27</w:t>
            </w:r>
          </w:p>
        </w:tc>
      </w:tr>
      <w:tr w:rsidR="00C268EC" w14:paraId="13010137" w14:textId="77777777">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13010134" w14:textId="77777777" w:rsidR="00C268EC" w:rsidRDefault="005E554F">
            <w:pPr>
              <w:pStyle w:val="Standard"/>
              <w:spacing w:after="120" w:line="264" w:lineRule="auto"/>
              <w:jc w:val="both"/>
            </w:pPr>
            <w:r>
              <w:rPr>
                <w:b/>
              </w:rPr>
              <w:t>Scope 3</w:t>
            </w:r>
          </w:p>
          <w:p w14:paraId="13010135" w14:textId="77777777" w:rsidR="00C268EC" w:rsidRDefault="005E554F">
            <w:pPr>
              <w:pStyle w:val="Standard"/>
              <w:spacing w:after="120" w:line="264"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13010136" w14:textId="2F5FC48F" w:rsidR="00C268EC" w:rsidRPr="0005039A" w:rsidRDefault="0005039A">
            <w:pPr>
              <w:pStyle w:val="Standard"/>
              <w:spacing w:after="120" w:line="264" w:lineRule="auto"/>
              <w:jc w:val="both"/>
              <w:rPr>
                <w:b/>
              </w:rPr>
            </w:pPr>
            <w:r w:rsidRPr="0005039A">
              <w:rPr>
                <w:b/>
              </w:rPr>
              <w:t>2,675.01</w:t>
            </w:r>
          </w:p>
        </w:tc>
      </w:tr>
      <w:tr w:rsidR="00C268EC" w14:paraId="1301013A" w14:textId="77777777">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10138" w14:textId="77777777" w:rsidR="00C268EC" w:rsidRDefault="005E554F">
            <w:pPr>
              <w:pStyle w:val="Standard"/>
              <w:spacing w:after="120" w:line="264" w:lineRule="auto"/>
              <w:jc w:val="both"/>
            </w:pPr>
            <w:r>
              <w:rPr>
                <w:b/>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13010139" w14:textId="77676CE7" w:rsidR="00C268EC" w:rsidRDefault="00C70203">
            <w:pPr>
              <w:pStyle w:val="Standard"/>
              <w:spacing w:after="120" w:line="264" w:lineRule="auto"/>
              <w:jc w:val="both"/>
            </w:pPr>
            <w:r w:rsidRPr="00C70203">
              <w:rPr>
                <w:b/>
              </w:rPr>
              <w:t>2,745.22</w:t>
            </w:r>
          </w:p>
        </w:tc>
      </w:tr>
    </w:tbl>
    <w:p w14:paraId="1301013B" w14:textId="77777777" w:rsidR="00C268EC" w:rsidRDefault="00C268EC">
      <w:pPr>
        <w:pStyle w:val="Standard"/>
        <w:rPr>
          <w:b/>
          <w:sz w:val="28"/>
          <w:szCs w:val="28"/>
        </w:rPr>
      </w:pPr>
    </w:p>
    <w:p w14:paraId="1301013C" w14:textId="77777777" w:rsidR="00C268EC" w:rsidRDefault="00C268EC">
      <w:pPr>
        <w:pStyle w:val="Standard"/>
        <w:rPr>
          <w:b/>
          <w:sz w:val="28"/>
          <w:szCs w:val="28"/>
        </w:rPr>
      </w:pPr>
    </w:p>
    <w:p w14:paraId="1301013D" w14:textId="77777777" w:rsidR="00C268EC" w:rsidRDefault="005E554F">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C268EC" w14:paraId="1301013F"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3E" w14:textId="5844323A" w:rsidR="00C268EC" w:rsidRDefault="005E554F">
            <w:pPr>
              <w:pStyle w:val="Standard"/>
              <w:spacing w:after="120" w:line="264" w:lineRule="auto"/>
              <w:jc w:val="both"/>
            </w:pPr>
            <w:r>
              <w:rPr>
                <w:b/>
              </w:rPr>
              <w:t>Reporting Year: 202</w:t>
            </w:r>
            <w:r w:rsidR="00531A6D">
              <w:rPr>
                <w:b/>
              </w:rPr>
              <w:t>2</w:t>
            </w:r>
            <w:r>
              <w:rPr>
                <w:b/>
              </w:rPr>
              <w:t>-202</w:t>
            </w:r>
            <w:r w:rsidR="00531A6D">
              <w:rPr>
                <w:b/>
              </w:rPr>
              <w:t>3</w:t>
            </w:r>
          </w:p>
        </w:tc>
      </w:tr>
      <w:tr w:rsidR="00C268EC" w14:paraId="13010142" w14:textId="77777777">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0" w14:textId="77777777" w:rsidR="00C268EC" w:rsidRDefault="005E554F">
            <w:pPr>
              <w:pStyle w:val="Standard"/>
              <w:spacing w:after="120" w:line="264"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1" w14:textId="77777777" w:rsidR="00C268EC" w:rsidRDefault="005E554F">
            <w:pPr>
              <w:pStyle w:val="Standard"/>
              <w:spacing w:after="120" w:line="264" w:lineRule="auto"/>
              <w:jc w:val="both"/>
            </w:pPr>
            <w:r>
              <w:rPr>
                <w:b/>
              </w:rPr>
              <w:t>TOTAL (tCO</w:t>
            </w:r>
            <w:r>
              <w:rPr>
                <w:b/>
                <w:vertAlign w:val="subscript"/>
              </w:rPr>
              <w:t>2</w:t>
            </w:r>
            <w:r>
              <w:rPr>
                <w:b/>
              </w:rPr>
              <w:t>e)</w:t>
            </w:r>
          </w:p>
        </w:tc>
      </w:tr>
      <w:tr w:rsidR="00C268EC" w14:paraId="13010145"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3" w14:textId="77777777" w:rsidR="00C268EC" w:rsidRDefault="005E554F">
            <w:pPr>
              <w:pStyle w:val="Standard"/>
              <w:spacing w:after="120" w:line="264"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4" w14:textId="738337F2" w:rsidR="00C268EC" w:rsidRDefault="00C672F1">
            <w:pPr>
              <w:pStyle w:val="Standard"/>
              <w:spacing w:after="120" w:line="264" w:lineRule="auto"/>
              <w:jc w:val="both"/>
            </w:pPr>
            <w:r>
              <w:rPr>
                <w:b/>
              </w:rPr>
              <w:t>0</w:t>
            </w:r>
          </w:p>
        </w:tc>
      </w:tr>
      <w:tr w:rsidR="00C268EC" w14:paraId="13010148"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6" w14:textId="77777777" w:rsidR="00C268EC" w:rsidRDefault="005E554F">
            <w:pPr>
              <w:pStyle w:val="Standard"/>
              <w:spacing w:after="120" w:line="264"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7" w14:textId="7EF2A7D5" w:rsidR="00C268EC" w:rsidRDefault="00775A67">
            <w:pPr>
              <w:pStyle w:val="Standard"/>
              <w:spacing w:after="120" w:line="264" w:lineRule="auto"/>
              <w:jc w:val="both"/>
            </w:pPr>
            <w:r>
              <w:rPr>
                <w:b/>
              </w:rPr>
              <w:t>24.25</w:t>
            </w:r>
          </w:p>
        </w:tc>
      </w:tr>
      <w:tr w:rsidR="00C268EC" w14:paraId="1301014C"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9" w14:textId="77777777" w:rsidR="00C268EC" w:rsidRDefault="005E554F">
            <w:pPr>
              <w:pStyle w:val="Standard"/>
              <w:spacing w:after="120" w:line="264" w:lineRule="auto"/>
              <w:jc w:val="both"/>
            </w:pPr>
            <w:r>
              <w:rPr>
                <w:b/>
              </w:rPr>
              <w:t>Scope 3</w:t>
            </w:r>
          </w:p>
          <w:p w14:paraId="1301014A" w14:textId="77777777" w:rsidR="00C268EC" w:rsidRDefault="005E554F">
            <w:pPr>
              <w:pStyle w:val="Standard"/>
              <w:spacing w:after="120" w:line="264"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B" w14:textId="19A63995" w:rsidR="00C268EC" w:rsidRPr="00775A67" w:rsidRDefault="00775A67">
            <w:pPr>
              <w:pStyle w:val="Standard"/>
              <w:spacing w:after="120" w:line="264" w:lineRule="auto"/>
              <w:jc w:val="both"/>
              <w:rPr>
                <w:b/>
              </w:rPr>
            </w:pPr>
            <w:r w:rsidRPr="00775A67">
              <w:rPr>
                <w:b/>
              </w:rPr>
              <w:t>4174.81</w:t>
            </w:r>
          </w:p>
        </w:tc>
      </w:tr>
      <w:tr w:rsidR="00C268EC" w14:paraId="1301014F"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D" w14:textId="77777777" w:rsidR="00C268EC" w:rsidRDefault="005E554F">
            <w:pPr>
              <w:pStyle w:val="Standard"/>
              <w:spacing w:after="120" w:line="264"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1014E" w14:textId="749CD320" w:rsidR="00C268EC" w:rsidRPr="00775A67" w:rsidRDefault="00775A67">
            <w:pPr>
              <w:pStyle w:val="Standard"/>
              <w:spacing w:after="120" w:line="264" w:lineRule="auto"/>
              <w:jc w:val="both"/>
              <w:rPr>
                <w:b/>
              </w:rPr>
            </w:pPr>
            <w:r w:rsidRPr="00775A67">
              <w:rPr>
                <w:b/>
              </w:rPr>
              <w:t>4199.07</w:t>
            </w:r>
          </w:p>
        </w:tc>
      </w:tr>
    </w:tbl>
    <w:p w14:paraId="4961DE30" w14:textId="77777777" w:rsidR="002716E4" w:rsidRDefault="002716E4">
      <w:pPr>
        <w:pStyle w:val="Heading1"/>
        <w:keepNext w:val="0"/>
        <w:keepLines w:val="0"/>
        <w:spacing w:before="0" w:line="264" w:lineRule="auto"/>
        <w:jc w:val="both"/>
        <w:rPr>
          <w:b/>
          <w:sz w:val="28"/>
          <w:szCs w:val="28"/>
        </w:rPr>
      </w:pPr>
      <w:bookmarkStart w:id="3" w:name="_heading=h.2et92p0"/>
      <w:bookmarkEnd w:id="3"/>
    </w:p>
    <w:p w14:paraId="13010150" w14:textId="1EDAC26F" w:rsidR="00C268EC" w:rsidRDefault="005E554F">
      <w:pPr>
        <w:pStyle w:val="Heading1"/>
        <w:keepNext w:val="0"/>
        <w:keepLines w:val="0"/>
        <w:spacing w:before="0" w:line="264" w:lineRule="auto"/>
        <w:jc w:val="both"/>
      </w:pPr>
      <w:r>
        <w:rPr>
          <w:b/>
          <w:sz w:val="28"/>
          <w:szCs w:val="28"/>
        </w:rPr>
        <w:t>Emissions reduction targets</w:t>
      </w:r>
    </w:p>
    <w:p w14:paraId="13010154" w14:textId="77777777" w:rsidR="00C268EC" w:rsidRDefault="005E554F">
      <w:pPr>
        <w:pStyle w:val="Heading1"/>
        <w:keepNext w:val="0"/>
        <w:keepLines w:val="0"/>
        <w:spacing w:before="0" w:line="264" w:lineRule="auto"/>
        <w:jc w:val="both"/>
        <w:rPr>
          <w:sz w:val="22"/>
          <w:szCs w:val="22"/>
        </w:rPr>
      </w:pPr>
      <w:bookmarkStart w:id="4" w:name="_heading=h.tyjcwt"/>
      <w:bookmarkStart w:id="5" w:name="_heading=h.4d34og8"/>
      <w:bookmarkEnd w:id="4"/>
      <w:bookmarkEnd w:id="5"/>
      <w:r>
        <w:rPr>
          <w:sz w:val="22"/>
          <w:szCs w:val="22"/>
        </w:rPr>
        <w:lastRenderedPageBreak/>
        <w:t>In order to continue our progress to achieving Net Zero, we have adopted the following carbon reduction targets.</w:t>
      </w:r>
    </w:p>
    <w:p w14:paraId="13010156" w14:textId="77777777" w:rsidR="00C268EC" w:rsidRDefault="00C268EC">
      <w:pPr>
        <w:pStyle w:val="BodyText"/>
        <w:ind w:left="155" w:right="111"/>
        <w:jc w:val="both"/>
        <w:rPr>
          <w:rFonts w:ascii="Arial" w:hAnsi="Arial" w:cs="Arial"/>
          <w:sz w:val="22"/>
          <w:szCs w:val="22"/>
        </w:rPr>
      </w:pPr>
    </w:p>
    <w:p w14:paraId="13010157" w14:textId="77777777" w:rsidR="00C268EC" w:rsidRDefault="005E554F">
      <w:pPr>
        <w:pStyle w:val="BodyText"/>
        <w:ind w:left="155" w:right="111"/>
        <w:jc w:val="both"/>
        <w:rPr>
          <w:rFonts w:ascii="Arial" w:hAnsi="Arial" w:cs="Arial"/>
          <w:sz w:val="22"/>
          <w:szCs w:val="22"/>
          <w:u w:val="single"/>
        </w:rPr>
      </w:pPr>
      <w:r>
        <w:rPr>
          <w:rFonts w:ascii="Arial" w:hAnsi="Arial" w:cs="Arial"/>
          <w:sz w:val="22"/>
          <w:szCs w:val="22"/>
          <w:u w:val="single"/>
        </w:rPr>
        <w:t>Near-term targets</w:t>
      </w:r>
    </w:p>
    <w:p w14:paraId="13010158" w14:textId="77777777" w:rsidR="00C268EC" w:rsidRDefault="005E554F">
      <w:pPr>
        <w:pStyle w:val="BodyText"/>
        <w:numPr>
          <w:ilvl w:val="0"/>
          <w:numId w:val="5"/>
        </w:numPr>
        <w:ind w:right="111"/>
        <w:jc w:val="both"/>
        <w:rPr>
          <w:rFonts w:ascii="Arial" w:hAnsi="Arial" w:cs="Arial"/>
          <w:sz w:val="22"/>
          <w:szCs w:val="22"/>
        </w:rPr>
      </w:pPr>
      <w:r>
        <w:rPr>
          <w:rFonts w:ascii="Arial" w:hAnsi="Arial" w:cs="Arial"/>
          <w:sz w:val="22"/>
          <w:szCs w:val="22"/>
        </w:rPr>
        <w:t>42% absolute reduction in scope 1 and 2 emissions by 2030, against base year (2020-21)</w:t>
      </w:r>
    </w:p>
    <w:p w14:paraId="13010159" w14:textId="77777777" w:rsidR="00C268EC" w:rsidRDefault="005E554F">
      <w:pPr>
        <w:pStyle w:val="BodyText"/>
        <w:numPr>
          <w:ilvl w:val="0"/>
          <w:numId w:val="5"/>
        </w:numPr>
        <w:ind w:right="111"/>
        <w:jc w:val="both"/>
        <w:rPr>
          <w:rFonts w:ascii="Arial" w:hAnsi="Arial" w:cs="Arial"/>
          <w:sz w:val="22"/>
          <w:szCs w:val="22"/>
        </w:rPr>
      </w:pPr>
      <w:r>
        <w:rPr>
          <w:rFonts w:ascii="Arial" w:hAnsi="Arial" w:cs="Arial"/>
          <w:sz w:val="22"/>
          <w:szCs w:val="22"/>
        </w:rPr>
        <w:t>25% absolute reduction in scope 3 emission by 2030, against base year (2020-21)</w:t>
      </w:r>
    </w:p>
    <w:p w14:paraId="1301015A" w14:textId="77777777" w:rsidR="00C268EC" w:rsidRDefault="00C268EC">
      <w:pPr>
        <w:pStyle w:val="BodyText"/>
        <w:ind w:right="111"/>
        <w:jc w:val="both"/>
        <w:rPr>
          <w:rFonts w:ascii="Arial" w:hAnsi="Arial" w:cs="Arial"/>
          <w:sz w:val="22"/>
          <w:szCs w:val="22"/>
        </w:rPr>
      </w:pPr>
    </w:p>
    <w:p w14:paraId="1301015B" w14:textId="77777777" w:rsidR="00C268EC" w:rsidRDefault="005E554F">
      <w:pPr>
        <w:pStyle w:val="BodyText"/>
        <w:ind w:right="111" w:firstLine="155"/>
        <w:jc w:val="both"/>
        <w:rPr>
          <w:rFonts w:ascii="Arial" w:hAnsi="Arial" w:cs="Arial"/>
          <w:sz w:val="22"/>
          <w:szCs w:val="22"/>
          <w:u w:val="single"/>
        </w:rPr>
      </w:pPr>
      <w:r>
        <w:rPr>
          <w:rFonts w:ascii="Arial" w:hAnsi="Arial" w:cs="Arial"/>
          <w:sz w:val="22"/>
          <w:szCs w:val="22"/>
          <w:u w:val="single"/>
        </w:rPr>
        <w:t>Long-term target</w:t>
      </w:r>
    </w:p>
    <w:p w14:paraId="1301015C" w14:textId="77777777" w:rsidR="00C268EC" w:rsidRDefault="005E554F">
      <w:pPr>
        <w:pStyle w:val="BodyText"/>
        <w:numPr>
          <w:ilvl w:val="0"/>
          <w:numId w:val="6"/>
        </w:numPr>
        <w:ind w:right="111"/>
        <w:jc w:val="both"/>
        <w:rPr>
          <w:rFonts w:ascii="Arial" w:hAnsi="Arial" w:cs="Arial"/>
          <w:sz w:val="22"/>
          <w:szCs w:val="22"/>
        </w:rPr>
      </w:pPr>
      <w:r>
        <w:rPr>
          <w:rFonts w:ascii="Arial" w:hAnsi="Arial" w:cs="Arial"/>
          <w:sz w:val="22"/>
          <w:szCs w:val="22"/>
        </w:rPr>
        <w:t>90% absolute reduction in scope 1, 2 &amp; 3 emissions by 2045, against base year (2020-21)</w:t>
      </w:r>
    </w:p>
    <w:p w14:paraId="1301015D" w14:textId="77777777" w:rsidR="00C268EC" w:rsidRDefault="00C268EC">
      <w:pPr>
        <w:pStyle w:val="BodyText"/>
        <w:ind w:left="155" w:right="111"/>
        <w:jc w:val="both"/>
      </w:pPr>
    </w:p>
    <w:p w14:paraId="1301015E" w14:textId="77777777" w:rsidR="00C268EC" w:rsidRDefault="005E554F">
      <w:pPr>
        <w:pStyle w:val="BodyText"/>
        <w:ind w:left="155" w:right="111"/>
        <w:jc w:val="both"/>
        <w:rPr>
          <w:rFonts w:ascii="Arial" w:hAnsi="Arial" w:cs="Arial"/>
          <w:sz w:val="22"/>
          <w:szCs w:val="22"/>
        </w:rPr>
      </w:pPr>
      <w:r>
        <w:rPr>
          <w:rFonts w:ascii="Arial" w:hAnsi="Arial" w:cs="Arial"/>
          <w:sz w:val="22"/>
          <w:szCs w:val="22"/>
        </w:rPr>
        <w:t xml:space="preserve">Our targets have been verified by the Science Based Targets Initiative (SBTi). </w:t>
      </w:r>
    </w:p>
    <w:p w14:paraId="1301015F" w14:textId="77777777" w:rsidR="00C268EC" w:rsidRDefault="00C268EC">
      <w:pPr>
        <w:pStyle w:val="Standard"/>
      </w:pPr>
    </w:p>
    <w:p w14:paraId="13010164" w14:textId="752A5E29" w:rsidR="00C268EC" w:rsidRDefault="005E554F" w:rsidP="00DA0CC0">
      <w:pPr>
        <w:pStyle w:val="Heading1"/>
        <w:keepNext w:val="0"/>
        <w:keepLines w:val="0"/>
        <w:spacing w:before="0" w:line="264" w:lineRule="auto"/>
        <w:jc w:val="both"/>
      </w:pPr>
      <w:bookmarkStart w:id="6" w:name="_heading=h.2s8eyo1"/>
      <w:bookmarkStart w:id="7" w:name="_Hlk135921462"/>
      <w:bookmarkEnd w:id="6"/>
      <w:r>
        <w:rPr>
          <w:sz w:val="22"/>
          <w:szCs w:val="22"/>
        </w:rPr>
        <w:t xml:space="preserve">We project that </w:t>
      </w:r>
      <w:r w:rsidR="00C74693">
        <w:rPr>
          <w:sz w:val="22"/>
          <w:szCs w:val="22"/>
        </w:rPr>
        <w:t>greenhouse gas</w:t>
      </w:r>
      <w:r>
        <w:rPr>
          <w:sz w:val="22"/>
          <w:szCs w:val="22"/>
        </w:rPr>
        <w:t xml:space="preserve"> emissions will decrease over the next five years to </w:t>
      </w:r>
      <w:r w:rsidR="00DA0CC0">
        <w:rPr>
          <w:sz w:val="22"/>
          <w:szCs w:val="22"/>
        </w:rPr>
        <w:t>2000</w:t>
      </w:r>
      <w:r>
        <w:rPr>
          <w:sz w:val="22"/>
          <w:szCs w:val="22"/>
        </w:rPr>
        <w:t xml:space="preserve"> tCO</w:t>
      </w:r>
      <w:r>
        <w:rPr>
          <w:sz w:val="22"/>
          <w:szCs w:val="22"/>
          <w:vertAlign w:val="subscript"/>
        </w:rPr>
        <w:t>2</w:t>
      </w:r>
      <w:r>
        <w:rPr>
          <w:sz w:val="22"/>
          <w:szCs w:val="22"/>
        </w:rPr>
        <w:t>e by 20</w:t>
      </w:r>
      <w:r w:rsidRPr="00403CEB">
        <w:rPr>
          <w:sz w:val="22"/>
          <w:szCs w:val="22"/>
        </w:rPr>
        <w:t>28</w:t>
      </w:r>
      <w:r>
        <w:rPr>
          <w:sz w:val="22"/>
          <w:szCs w:val="22"/>
        </w:rPr>
        <w:t xml:space="preserve">. This is a reduction of </w:t>
      </w:r>
      <w:r w:rsidR="003C4C41" w:rsidRPr="00403CEB">
        <w:rPr>
          <w:sz w:val="22"/>
          <w:szCs w:val="22"/>
        </w:rPr>
        <w:t>46</w:t>
      </w:r>
      <w:r>
        <w:rPr>
          <w:sz w:val="22"/>
          <w:szCs w:val="22"/>
        </w:rPr>
        <w:t>%</w:t>
      </w:r>
      <w:bookmarkStart w:id="8" w:name="_heading=h.17dp8vu"/>
      <w:bookmarkStart w:id="9" w:name="_heading=h.3rdcrjn"/>
      <w:bookmarkStart w:id="10" w:name="_heading=h.26in1rg"/>
      <w:bookmarkStart w:id="11" w:name="_heading=h.lnxbz9"/>
      <w:bookmarkStart w:id="12" w:name="_heading=h.35nkun2"/>
      <w:bookmarkStart w:id="13" w:name="_heading=h.1ksv4uv"/>
      <w:bookmarkStart w:id="14" w:name="_heading=h.44sinio"/>
      <w:bookmarkStart w:id="15" w:name="_heading=h.2jxsxqh"/>
      <w:bookmarkStart w:id="16" w:name="_heading=h.z337ya"/>
      <w:bookmarkStart w:id="17" w:name="_heading=h.3j2qqm3"/>
      <w:bookmarkStart w:id="18" w:name="_heading=h.1y810tw"/>
      <w:bookmarkStart w:id="19" w:name="_heading=h.4i7ojhp"/>
      <w:bookmarkStart w:id="20" w:name="_heading=h.2xcytpi"/>
      <w:bookmarkEnd w:id="8"/>
      <w:bookmarkEnd w:id="9"/>
      <w:bookmarkEnd w:id="10"/>
      <w:bookmarkEnd w:id="11"/>
      <w:bookmarkEnd w:id="12"/>
      <w:bookmarkEnd w:id="13"/>
      <w:bookmarkEnd w:id="14"/>
      <w:bookmarkEnd w:id="15"/>
      <w:bookmarkEnd w:id="16"/>
      <w:bookmarkEnd w:id="17"/>
      <w:bookmarkEnd w:id="18"/>
      <w:bookmarkEnd w:id="19"/>
      <w:bookmarkEnd w:id="20"/>
      <w:r>
        <w:rPr>
          <w:sz w:val="22"/>
          <w:szCs w:val="22"/>
        </w:rPr>
        <w:t>.</w:t>
      </w:r>
      <w:bookmarkStart w:id="21" w:name="_heading=h.1ci93xb"/>
      <w:bookmarkEnd w:id="7"/>
      <w:bookmarkEnd w:id="21"/>
      <w:r>
        <w:rPr>
          <w:sz w:val="22"/>
          <w:szCs w:val="22"/>
        </w:rPr>
        <w:t xml:space="preserve"> </w:t>
      </w:r>
    </w:p>
    <w:p w14:paraId="13010165" w14:textId="77777777" w:rsidR="00C268EC" w:rsidRDefault="00C268EC">
      <w:pPr>
        <w:pStyle w:val="Standard"/>
      </w:pPr>
    </w:p>
    <w:p w14:paraId="13010166" w14:textId="77777777" w:rsidR="00C268EC" w:rsidRDefault="005E554F">
      <w:pPr>
        <w:pStyle w:val="Heading1"/>
        <w:keepNext w:val="0"/>
        <w:keepLines w:val="0"/>
        <w:spacing w:before="0" w:line="264" w:lineRule="auto"/>
        <w:jc w:val="both"/>
        <w:rPr>
          <w:sz w:val="22"/>
          <w:szCs w:val="22"/>
        </w:rPr>
      </w:pPr>
      <w:bookmarkStart w:id="22" w:name="_heading=h.3whwml4"/>
      <w:bookmarkEnd w:id="22"/>
      <w:r>
        <w:rPr>
          <w:sz w:val="22"/>
          <w:szCs w:val="22"/>
        </w:rPr>
        <w:t>Progress against these targets can be seen in the graph below:</w:t>
      </w:r>
    </w:p>
    <w:p w14:paraId="13010167" w14:textId="77777777" w:rsidR="00C268EC" w:rsidRDefault="00C268EC">
      <w:pPr>
        <w:pStyle w:val="Standard"/>
      </w:pPr>
    </w:p>
    <w:p w14:paraId="13010169" w14:textId="3549C16B" w:rsidR="00C268EC" w:rsidRDefault="002716E4">
      <w:r>
        <w:rPr>
          <w:noProof/>
        </w:rPr>
        <w:drawing>
          <wp:inline distT="0" distB="0" distL="0" distR="0" wp14:anchorId="43C38982" wp14:editId="54B975F9">
            <wp:extent cx="4572000" cy="2695575"/>
            <wp:effectExtent l="0" t="0" r="0" b="9525"/>
            <wp:docPr id="2" name="Chart 2">
              <a:extLst xmlns:a="http://schemas.openxmlformats.org/drawingml/2006/main">
                <a:ext uri="{FF2B5EF4-FFF2-40B4-BE49-F238E27FC236}">
                  <a16:creationId xmlns:a16="http://schemas.microsoft.com/office/drawing/2014/main" id="{AA6A1CEC-6871-DDE6-EBAD-9B1567F67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01016A" w14:textId="77777777" w:rsidR="00C268EC" w:rsidRDefault="00C268EC"/>
    <w:p w14:paraId="523A15EF" w14:textId="64BBB1AE" w:rsidR="00F77B20" w:rsidRDefault="00F77B20" w:rsidP="00F77B20">
      <w:pPr>
        <w:jc w:val="both"/>
      </w:pPr>
      <w:r>
        <w:t>Since our baseline year of 2020-21, Energy Saving Trust has seen an increase in total greenhouse gas emissions. This rise can be attributed to the lifting of the Government mandated COVID-19 response measures and Energy Saving Trust doubling in employee numbers since April 2020. However, we have seen a decrease in emissions per person.</w:t>
      </w:r>
    </w:p>
    <w:p w14:paraId="1301016C" w14:textId="77777777" w:rsidR="00C268EC" w:rsidRDefault="005E554F">
      <w:pPr>
        <w:pStyle w:val="Heading1"/>
        <w:spacing w:before="360"/>
      </w:pPr>
      <w:bookmarkStart w:id="23" w:name="_heading=h.2bn6wsx"/>
      <w:bookmarkStart w:id="24" w:name="_heading=h.qsh70q"/>
      <w:bookmarkEnd w:id="23"/>
      <w:bookmarkEnd w:id="24"/>
      <w:r>
        <w:rPr>
          <w:b/>
          <w:sz w:val="28"/>
          <w:szCs w:val="28"/>
        </w:rPr>
        <w:t>Carbon Reduction Projects</w:t>
      </w:r>
    </w:p>
    <w:p w14:paraId="1301016D" w14:textId="77777777" w:rsidR="00C268EC" w:rsidRDefault="005E554F">
      <w:pPr>
        <w:pStyle w:val="Heading3"/>
      </w:pPr>
      <w:bookmarkStart w:id="25" w:name="_heading=h.3as4poj"/>
      <w:bookmarkEnd w:id="25"/>
      <w:r>
        <w:t>Completed Carbon Reduction Initiatives</w:t>
      </w:r>
    </w:p>
    <w:p w14:paraId="1638C052" w14:textId="77777777" w:rsidR="009B1F2A" w:rsidRDefault="009B1F2A" w:rsidP="009B1F2A">
      <w:pPr>
        <w:jc w:val="both"/>
      </w:pPr>
    </w:p>
    <w:p w14:paraId="11985002" w14:textId="01658548" w:rsidR="0053122F" w:rsidRDefault="005E554F" w:rsidP="00905164">
      <w:pPr>
        <w:pStyle w:val="Standard"/>
        <w:spacing w:after="140" w:line="268" w:lineRule="auto"/>
        <w:jc w:val="both"/>
      </w:pPr>
      <w:r>
        <w:t xml:space="preserve">The following environmental management measures and projects have been completed or implemented since the 2020 baseline. </w:t>
      </w:r>
      <w:r w:rsidR="0053122F">
        <w:t xml:space="preserve">The carbon emission reduction achieved for scope 1 and 2 by these schemes equate to </w:t>
      </w:r>
      <w:r w:rsidR="0033266A">
        <w:t>45.</w:t>
      </w:r>
      <w:r w:rsidR="001B453B">
        <w:t>96</w:t>
      </w:r>
      <w:r w:rsidR="0053122F">
        <w:t xml:space="preserve"> tCO</w:t>
      </w:r>
      <w:r w:rsidR="0053122F">
        <w:rPr>
          <w:vertAlign w:val="subscript"/>
        </w:rPr>
        <w:t>2</w:t>
      </w:r>
      <w:r w:rsidR="0053122F">
        <w:t xml:space="preserve">e, a 65%ge reduction against the 2020 baseline </w:t>
      </w:r>
      <w:r w:rsidR="0053122F">
        <w:lastRenderedPageBreak/>
        <w:t>and the measures will be in effect when performing the contract. Achieving our scope 1 and scope 2 near-term target.</w:t>
      </w:r>
    </w:p>
    <w:p w14:paraId="13010171" w14:textId="03E69459" w:rsidR="00C268EC" w:rsidRPr="00D608B0" w:rsidRDefault="001C7EC1" w:rsidP="00D608B0">
      <w:pPr>
        <w:pStyle w:val="Standard"/>
        <w:spacing w:after="140" w:line="264" w:lineRule="auto"/>
        <w:jc w:val="both"/>
      </w:pPr>
      <w:r>
        <w:t>Given our baseline year and operational changes</w:t>
      </w:r>
      <w:r w:rsidR="000C35CD">
        <w:t>,</w:t>
      </w:r>
      <w:r w:rsidR="00FC377C">
        <w:t xml:space="preserve"> </w:t>
      </w:r>
      <w:r w:rsidR="005E554F">
        <w:t>we are unable to identify the total carbon emissions reduction achieved by the measures we have implemented.</w:t>
      </w:r>
      <w:r>
        <w:t xml:space="preserve"> </w:t>
      </w:r>
      <w:r w:rsidR="005E554F">
        <w:t>Please see below emissions reductions associated with individual measures and projects</w:t>
      </w:r>
      <w:r w:rsidR="00403CEB">
        <w:t>:</w:t>
      </w:r>
    </w:p>
    <w:p w14:paraId="13010172" w14:textId="77777777" w:rsidR="00C268EC" w:rsidRDefault="005E554F">
      <w:pPr>
        <w:spacing w:line="242" w:lineRule="auto"/>
        <w:rPr>
          <w:b/>
          <w:bCs/>
        </w:rPr>
      </w:pPr>
      <w:r>
        <w:rPr>
          <w:b/>
          <w:bCs/>
        </w:rPr>
        <w:t xml:space="preserve">Verification </w:t>
      </w:r>
    </w:p>
    <w:p w14:paraId="13010173" w14:textId="77777777" w:rsidR="00C268EC" w:rsidRDefault="005E554F">
      <w:pPr>
        <w:spacing w:line="242" w:lineRule="auto"/>
      </w:pPr>
      <w:r>
        <w:t xml:space="preserve">In 2022, Energy Saving Trust’s net zero targets became approved by the Science Based Targets Initiative. </w:t>
      </w:r>
    </w:p>
    <w:p w14:paraId="13010174" w14:textId="77777777" w:rsidR="00C268EC" w:rsidRDefault="00C268EC">
      <w:pPr>
        <w:spacing w:line="242" w:lineRule="auto"/>
        <w:rPr>
          <w:b/>
          <w:bCs/>
        </w:rPr>
      </w:pPr>
    </w:p>
    <w:p w14:paraId="13010175" w14:textId="77777777" w:rsidR="00C268EC" w:rsidRDefault="005E554F">
      <w:pPr>
        <w:spacing w:line="242" w:lineRule="auto"/>
        <w:rPr>
          <w:b/>
          <w:bCs/>
        </w:rPr>
      </w:pPr>
      <w:r>
        <w:rPr>
          <w:b/>
          <w:bCs/>
        </w:rPr>
        <w:t xml:space="preserve">Travel </w:t>
      </w:r>
    </w:p>
    <w:p w14:paraId="13010177" w14:textId="0D6E0881" w:rsidR="00C268EC" w:rsidRDefault="007F283A" w:rsidP="00417E9B">
      <w:pPr>
        <w:spacing w:line="242" w:lineRule="auto"/>
        <w:rPr>
          <w:b/>
          <w:bCs/>
        </w:rPr>
      </w:pPr>
      <w:r>
        <w:t>In November 2021, we c</w:t>
      </w:r>
      <w:r w:rsidR="005E554F">
        <w:t xml:space="preserve">eased our lease of the single diesel vehicle operated by the organisation. This removes all scope 1 emissions. The carbon emission reduction achieved by this intervention equates to </w:t>
      </w:r>
      <w:r w:rsidR="005E554F">
        <w:rPr>
          <w:b/>
          <w:bCs/>
        </w:rPr>
        <w:t>0.93 tCO</w:t>
      </w:r>
      <w:r w:rsidR="005E554F">
        <w:rPr>
          <w:b/>
          <w:bCs/>
          <w:vertAlign w:val="subscript"/>
        </w:rPr>
        <w:t>2</w:t>
      </w:r>
      <w:r w:rsidR="005E554F">
        <w:rPr>
          <w:b/>
          <w:bCs/>
        </w:rPr>
        <w:t>e, a 100% reduction against the 2020 baseline.</w:t>
      </w:r>
    </w:p>
    <w:p w14:paraId="481AD372" w14:textId="77777777" w:rsidR="009D449F" w:rsidRDefault="009D449F" w:rsidP="00417E9B">
      <w:pPr>
        <w:spacing w:line="242" w:lineRule="auto"/>
      </w:pPr>
    </w:p>
    <w:p w14:paraId="5CEF333B" w14:textId="12D9E255" w:rsidR="000435C7" w:rsidRPr="000435C7" w:rsidRDefault="00B6666E" w:rsidP="00417E9B">
      <w:pPr>
        <w:spacing w:line="242" w:lineRule="auto"/>
      </w:pPr>
      <w:r>
        <w:t>We have reviewed the environmental credentials of the hotels</w:t>
      </w:r>
      <w:r w:rsidR="0044797E">
        <w:t xml:space="preserve"> employees</w:t>
      </w:r>
      <w:r>
        <w:t xml:space="preserve"> regularly stay in for business travel. This comparison allows us to prioritise booking the hotels which are committed to reducing their environmental impact. </w:t>
      </w:r>
    </w:p>
    <w:p w14:paraId="463FFEBE" w14:textId="77777777" w:rsidR="00417E9B" w:rsidRDefault="00417E9B" w:rsidP="00417E9B">
      <w:pPr>
        <w:spacing w:line="242" w:lineRule="auto"/>
      </w:pPr>
    </w:p>
    <w:p w14:paraId="13010178" w14:textId="77777777" w:rsidR="00C268EC" w:rsidRDefault="005E554F">
      <w:pPr>
        <w:spacing w:after="140" w:line="266" w:lineRule="auto"/>
        <w:rPr>
          <w:b/>
          <w:bCs/>
        </w:rPr>
      </w:pPr>
      <w:r>
        <w:rPr>
          <w:b/>
          <w:bCs/>
        </w:rPr>
        <w:t xml:space="preserve">Resource </w:t>
      </w:r>
    </w:p>
    <w:p w14:paraId="13010179" w14:textId="77777777" w:rsidR="00C268EC" w:rsidRDefault="005E554F">
      <w:pPr>
        <w:pStyle w:val="BodyText"/>
        <w:spacing w:before="1"/>
        <w:ind w:right="111"/>
        <w:jc w:val="both"/>
        <w:rPr>
          <w:rFonts w:ascii="Arial" w:hAnsi="Arial" w:cs="Arial"/>
          <w:sz w:val="22"/>
          <w:szCs w:val="22"/>
        </w:rPr>
      </w:pPr>
      <w:r>
        <w:rPr>
          <w:rFonts w:ascii="Arial" w:hAnsi="Arial" w:cs="Arial"/>
          <w:sz w:val="22"/>
          <w:szCs w:val="22"/>
        </w:rPr>
        <w:t xml:space="preserve">During 2022-2023, Energy Saving Trust created two new roles dedicated to implementing actions outlined in our net zero strategy. The Net Zero Lead provides the overall project management of aligning Energy Saving Trust’s operations with our net zero ambitions. Our Sustainable Procurement and Contracts Officer is responsible for implementing actions related to procurement and manages the continual improvement of the procurement procedure. </w:t>
      </w:r>
    </w:p>
    <w:p w14:paraId="1301017A" w14:textId="77777777" w:rsidR="00C268EC" w:rsidRDefault="00C268EC">
      <w:pPr>
        <w:pStyle w:val="BodyText"/>
        <w:spacing w:before="1"/>
        <w:ind w:left="360" w:right="111"/>
        <w:jc w:val="both"/>
        <w:rPr>
          <w:rFonts w:ascii="Arial" w:hAnsi="Arial" w:cs="Arial"/>
          <w:sz w:val="22"/>
          <w:szCs w:val="22"/>
        </w:rPr>
      </w:pPr>
    </w:p>
    <w:p w14:paraId="2AC70C12" w14:textId="4ED5933F" w:rsidR="00990976" w:rsidRPr="00A3426F" w:rsidRDefault="005E554F">
      <w:pPr>
        <w:pStyle w:val="BodyText"/>
        <w:spacing w:before="1"/>
        <w:ind w:right="111"/>
        <w:jc w:val="both"/>
        <w:rPr>
          <w:rFonts w:ascii="Arial" w:hAnsi="Arial" w:cs="Arial"/>
          <w:b/>
          <w:bCs/>
          <w:sz w:val="22"/>
          <w:szCs w:val="22"/>
        </w:rPr>
      </w:pPr>
      <w:r>
        <w:rPr>
          <w:rFonts w:ascii="Arial" w:hAnsi="Arial" w:cs="Arial"/>
          <w:b/>
          <w:bCs/>
          <w:sz w:val="22"/>
          <w:szCs w:val="22"/>
        </w:rPr>
        <w:t>Offices  </w:t>
      </w:r>
    </w:p>
    <w:p w14:paraId="1301017C" w14:textId="11815C85" w:rsidR="00C268EC" w:rsidRDefault="005E554F">
      <w:pPr>
        <w:pStyle w:val="BodyText"/>
        <w:spacing w:before="1"/>
        <w:ind w:right="111"/>
        <w:jc w:val="both"/>
        <w:rPr>
          <w:rFonts w:ascii="Arial" w:hAnsi="Arial" w:cs="Arial"/>
          <w:sz w:val="22"/>
          <w:szCs w:val="22"/>
        </w:rPr>
      </w:pPr>
      <w:r>
        <w:rPr>
          <w:rFonts w:ascii="Arial" w:hAnsi="Arial" w:cs="Arial"/>
          <w:sz w:val="22"/>
          <w:szCs w:val="22"/>
        </w:rPr>
        <w:t>We moved our London office to a building that has a higher EPC rating and better public transport links as it is located ne</w:t>
      </w:r>
      <w:r w:rsidR="004C676B">
        <w:rPr>
          <w:rFonts w:ascii="Arial" w:hAnsi="Arial" w:cs="Arial"/>
          <w:sz w:val="22"/>
          <w:szCs w:val="22"/>
        </w:rPr>
        <w:t>ar</w:t>
      </w:r>
      <w:r>
        <w:rPr>
          <w:rFonts w:ascii="Arial" w:hAnsi="Arial" w:cs="Arial"/>
          <w:sz w:val="22"/>
          <w:szCs w:val="22"/>
        </w:rPr>
        <w:t xml:space="preserve"> King's Cross</w:t>
      </w:r>
      <w:r w:rsidR="004C676B">
        <w:rPr>
          <w:rFonts w:ascii="Arial" w:hAnsi="Arial" w:cs="Arial"/>
          <w:sz w:val="22"/>
          <w:szCs w:val="22"/>
        </w:rPr>
        <w:t xml:space="preserve"> Station</w:t>
      </w:r>
      <w:r>
        <w:rPr>
          <w:rFonts w:ascii="Arial" w:hAnsi="Arial" w:cs="Arial"/>
          <w:sz w:val="22"/>
          <w:szCs w:val="22"/>
        </w:rPr>
        <w:t xml:space="preserve">. </w:t>
      </w:r>
    </w:p>
    <w:p w14:paraId="1301017D" w14:textId="77777777" w:rsidR="00C268EC" w:rsidRDefault="00C268EC">
      <w:pPr>
        <w:pStyle w:val="BodyText"/>
        <w:spacing w:before="1"/>
        <w:ind w:right="111"/>
        <w:jc w:val="both"/>
        <w:rPr>
          <w:rFonts w:ascii="Arial" w:hAnsi="Arial" w:cs="Arial"/>
          <w:sz w:val="22"/>
          <w:szCs w:val="22"/>
        </w:rPr>
      </w:pPr>
    </w:p>
    <w:p w14:paraId="1301017E" w14:textId="77777777" w:rsidR="00C268EC" w:rsidRDefault="005E554F">
      <w:pPr>
        <w:pStyle w:val="BodyText"/>
        <w:spacing w:before="1"/>
        <w:ind w:right="111"/>
        <w:jc w:val="both"/>
      </w:pPr>
      <w:r>
        <w:rPr>
          <w:rFonts w:ascii="Arial" w:hAnsi="Arial" w:cs="Arial"/>
          <w:sz w:val="22"/>
          <w:szCs w:val="22"/>
        </w:rPr>
        <w:t xml:space="preserve">Our Cardiff office was refurbished with a focus on re-manufactured furniture and recycled materials. According to our supplier it is estimated we </w:t>
      </w:r>
      <w:r>
        <w:rPr>
          <w:rFonts w:ascii="Arial" w:hAnsi="Arial" w:cs="Arial"/>
          <w:b/>
          <w:bCs/>
          <w:sz w:val="22"/>
          <w:szCs w:val="22"/>
        </w:rPr>
        <w:t>saved 600kg CO2e compared to buying all new furniture​.</w:t>
      </w:r>
      <w:r>
        <w:rPr>
          <w:rFonts w:ascii="Arial" w:hAnsi="Arial" w:cs="Arial"/>
          <w:sz w:val="22"/>
          <w:szCs w:val="22"/>
        </w:rPr>
        <w:t xml:space="preserve"> </w:t>
      </w:r>
    </w:p>
    <w:p w14:paraId="1301017F" w14:textId="77777777" w:rsidR="00C268EC" w:rsidRDefault="00C268EC">
      <w:pPr>
        <w:pStyle w:val="BodyText"/>
        <w:spacing w:before="1"/>
        <w:ind w:right="111"/>
        <w:jc w:val="both"/>
        <w:rPr>
          <w:rFonts w:ascii="Arial" w:hAnsi="Arial" w:cs="Arial"/>
          <w:sz w:val="22"/>
          <w:szCs w:val="22"/>
        </w:rPr>
      </w:pPr>
    </w:p>
    <w:p w14:paraId="13010180" w14:textId="4BCC9E49" w:rsidR="00C268EC" w:rsidRDefault="006E3506">
      <w:pPr>
        <w:pStyle w:val="BodyText"/>
        <w:spacing w:before="1"/>
        <w:ind w:right="111"/>
        <w:jc w:val="both"/>
      </w:pPr>
      <w:r>
        <w:rPr>
          <w:rFonts w:ascii="Arial" w:hAnsi="Arial" w:cs="Arial"/>
          <w:sz w:val="22"/>
          <w:szCs w:val="22"/>
          <w:lang w:val="en-US"/>
        </w:rPr>
        <w:t xml:space="preserve">In August 2023, </w:t>
      </w:r>
      <w:r w:rsidR="00F45F91">
        <w:rPr>
          <w:rFonts w:ascii="Arial" w:hAnsi="Arial" w:cs="Arial"/>
          <w:sz w:val="22"/>
          <w:szCs w:val="22"/>
          <w:lang w:val="en-US"/>
        </w:rPr>
        <w:t>S</w:t>
      </w:r>
      <w:r w:rsidR="005E554F">
        <w:rPr>
          <w:rFonts w:ascii="Arial" w:hAnsi="Arial" w:cs="Arial"/>
          <w:sz w:val="22"/>
          <w:szCs w:val="22"/>
          <w:lang w:val="en-US"/>
        </w:rPr>
        <w:t xml:space="preserve">olar PV </w:t>
      </w:r>
      <w:r w:rsidR="00D608B0">
        <w:rPr>
          <w:rFonts w:ascii="Arial" w:hAnsi="Arial" w:cs="Arial"/>
          <w:sz w:val="22"/>
          <w:szCs w:val="22"/>
          <w:lang w:val="en-US"/>
        </w:rPr>
        <w:t>w</w:t>
      </w:r>
      <w:r w:rsidR="00F45F91">
        <w:rPr>
          <w:rFonts w:ascii="Arial" w:hAnsi="Arial" w:cs="Arial"/>
          <w:sz w:val="22"/>
          <w:szCs w:val="22"/>
          <w:lang w:val="en-US"/>
        </w:rPr>
        <w:t>as installed at</w:t>
      </w:r>
      <w:r w:rsidR="005E554F">
        <w:rPr>
          <w:rFonts w:ascii="Arial" w:hAnsi="Arial" w:cs="Arial"/>
          <w:sz w:val="22"/>
          <w:szCs w:val="22"/>
          <w:lang w:val="en-US"/>
        </w:rPr>
        <w:t xml:space="preserve"> our Solstice office</w:t>
      </w:r>
      <w:r w:rsidR="00D723C8">
        <w:rPr>
          <w:rFonts w:ascii="Arial" w:hAnsi="Arial" w:cs="Arial"/>
          <w:sz w:val="22"/>
          <w:szCs w:val="22"/>
          <w:lang w:val="en-US"/>
        </w:rPr>
        <w:t xml:space="preserve">, making that building </w:t>
      </w:r>
      <w:r w:rsidR="00C34C50">
        <w:rPr>
          <w:rFonts w:ascii="Arial" w:hAnsi="Arial" w:cs="Arial"/>
          <w:sz w:val="22"/>
          <w:szCs w:val="22"/>
          <w:lang w:val="en-US"/>
        </w:rPr>
        <w:t>completely powered</w:t>
      </w:r>
      <w:r w:rsidR="00D4239C">
        <w:rPr>
          <w:rFonts w:ascii="Arial" w:hAnsi="Arial" w:cs="Arial"/>
          <w:sz w:val="22"/>
          <w:szCs w:val="22"/>
          <w:lang w:val="en-US"/>
        </w:rPr>
        <w:t xml:space="preserve"> by renewable energy</w:t>
      </w:r>
      <w:r w:rsidR="005E554F">
        <w:rPr>
          <w:rFonts w:ascii="Arial" w:hAnsi="Arial" w:cs="Arial"/>
          <w:sz w:val="22"/>
          <w:szCs w:val="22"/>
          <w:lang w:val="en-US"/>
        </w:rPr>
        <w:t xml:space="preserve">. </w:t>
      </w:r>
    </w:p>
    <w:p w14:paraId="13010181" w14:textId="77777777" w:rsidR="00C268EC" w:rsidRDefault="005E554F">
      <w:pPr>
        <w:pStyle w:val="BodyText"/>
        <w:spacing w:before="1"/>
        <w:ind w:right="111"/>
        <w:jc w:val="both"/>
        <w:rPr>
          <w:rFonts w:ascii="Arial" w:hAnsi="Arial" w:cs="Arial"/>
          <w:sz w:val="22"/>
          <w:szCs w:val="22"/>
          <w:lang w:val="en-US"/>
        </w:rPr>
      </w:pPr>
      <w:r>
        <w:rPr>
          <w:rFonts w:ascii="Arial" w:hAnsi="Arial" w:cs="Arial"/>
          <w:sz w:val="22"/>
          <w:szCs w:val="22"/>
          <w:lang w:val="en-US"/>
        </w:rPr>
        <w:t> </w:t>
      </w:r>
    </w:p>
    <w:p w14:paraId="13010182" w14:textId="77777777" w:rsidR="00C268EC" w:rsidRDefault="005E554F">
      <w:pPr>
        <w:pStyle w:val="BodyText"/>
        <w:spacing w:before="1"/>
        <w:ind w:right="111"/>
        <w:jc w:val="both"/>
        <w:rPr>
          <w:rFonts w:ascii="Arial" w:hAnsi="Arial" w:cs="Arial"/>
          <w:b/>
          <w:bCs/>
          <w:sz w:val="22"/>
          <w:szCs w:val="22"/>
        </w:rPr>
      </w:pPr>
      <w:r>
        <w:rPr>
          <w:rFonts w:ascii="Arial" w:hAnsi="Arial" w:cs="Arial"/>
          <w:b/>
          <w:bCs/>
          <w:sz w:val="22"/>
          <w:szCs w:val="22"/>
        </w:rPr>
        <w:t xml:space="preserve">Employees support </w:t>
      </w:r>
    </w:p>
    <w:p w14:paraId="13010183" w14:textId="77777777" w:rsidR="00C268EC" w:rsidRDefault="005E554F">
      <w:pPr>
        <w:pStyle w:val="BodyText"/>
        <w:spacing w:before="1"/>
        <w:ind w:right="111"/>
        <w:jc w:val="both"/>
        <w:rPr>
          <w:rFonts w:ascii="Arial" w:hAnsi="Arial" w:cs="Arial"/>
          <w:sz w:val="22"/>
          <w:szCs w:val="22"/>
        </w:rPr>
      </w:pPr>
      <w:r>
        <w:rPr>
          <w:rFonts w:ascii="Arial" w:hAnsi="Arial" w:cs="Arial"/>
          <w:sz w:val="22"/>
          <w:szCs w:val="22"/>
        </w:rPr>
        <w:t xml:space="preserve">Energy Saving Trust offers eligible employees the opportunity to apply for an interest free net zero employee loan for use specifically towards measures that saves energy and/or reduces carbon emissions. </w:t>
      </w:r>
    </w:p>
    <w:p w14:paraId="13010184" w14:textId="77777777" w:rsidR="00C268EC" w:rsidRDefault="00C268EC">
      <w:pPr>
        <w:pStyle w:val="BodyText"/>
        <w:spacing w:before="1"/>
        <w:ind w:right="111"/>
        <w:jc w:val="both"/>
        <w:rPr>
          <w:rFonts w:ascii="Arial" w:hAnsi="Arial" w:cs="Arial"/>
          <w:sz w:val="22"/>
          <w:szCs w:val="22"/>
          <w:lang w:val="en-US"/>
        </w:rPr>
      </w:pPr>
    </w:p>
    <w:p w14:paraId="13010185" w14:textId="7837EBAD" w:rsidR="00C268EC" w:rsidRDefault="005E554F">
      <w:pPr>
        <w:pStyle w:val="BodyText"/>
        <w:spacing w:before="1"/>
        <w:ind w:right="111"/>
        <w:jc w:val="both"/>
      </w:pPr>
      <w:r>
        <w:rPr>
          <w:rFonts w:ascii="Arial" w:hAnsi="Arial" w:cs="Arial"/>
          <w:sz w:val="22"/>
          <w:szCs w:val="22"/>
        </w:rPr>
        <w:t xml:space="preserve">In May 2022, Energy Saving Trust launched an EV salary sacrifice scheme which offers employees the opportunity to drive a brand-new electric car using part of their gross salary and make savings on income tax and national insurance. </w:t>
      </w:r>
    </w:p>
    <w:p w14:paraId="13010186" w14:textId="77777777" w:rsidR="00C268EC" w:rsidRDefault="00C268EC">
      <w:pPr>
        <w:pStyle w:val="BodyText"/>
        <w:spacing w:before="1"/>
        <w:ind w:right="111"/>
        <w:jc w:val="both"/>
        <w:rPr>
          <w:rFonts w:ascii="Arial" w:hAnsi="Arial" w:cs="Arial"/>
          <w:sz w:val="22"/>
          <w:szCs w:val="22"/>
        </w:rPr>
      </w:pPr>
    </w:p>
    <w:p w14:paraId="13010187" w14:textId="77777777" w:rsidR="00C268EC" w:rsidRDefault="005E554F">
      <w:pPr>
        <w:pStyle w:val="BodyText"/>
        <w:spacing w:before="1"/>
        <w:ind w:right="111"/>
        <w:jc w:val="both"/>
        <w:rPr>
          <w:rFonts w:ascii="Arial" w:hAnsi="Arial" w:cs="Arial"/>
          <w:b/>
          <w:bCs/>
          <w:sz w:val="22"/>
          <w:szCs w:val="22"/>
        </w:rPr>
      </w:pPr>
      <w:r>
        <w:rPr>
          <w:rFonts w:ascii="Arial" w:hAnsi="Arial" w:cs="Arial"/>
          <w:b/>
          <w:bCs/>
          <w:sz w:val="22"/>
          <w:szCs w:val="22"/>
        </w:rPr>
        <w:t xml:space="preserve">Procurement </w:t>
      </w:r>
    </w:p>
    <w:p w14:paraId="13010188" w14:textId="103E0B5F" w:rsidR="00C268EC" w:rsidRPr="004C676B" w:rsidRDefault="005E554F">
      <w:pPr>
        <w:pStyle w:val="BodyText"/>
        <w:spacing w:before="1"/>
        <w:ind w:right="111"/>
        <w:jc w:val="both"/>
        <w:rPr>
          <w:rFonts w:ascii="Arial" w:hAnsi="Arial" w:cs="Arial"/>
          <w:sz w:val="22"/>
          <w:szCs w:val="22"/>
          <w:lang w:val="en-US"/>
        </w:rPr>
      </w:pPr>
      <w:r>
        <w:rPr>
          <w:rFonts w:ascii="Arial" w:hAnsi="Arial" w:cs="Arial"/>
          <w:sz w:val="22"/>
          <w:szCs w:val="22"/>
          <w:lang w:val="en-US"/>
        </w:rPr>
        <w:t>We</w:t>
      </w:r>
      <w:r w:rsidR="007D305C">
        <w:rPr>
          <w:rFonts w:ascii="Arial" w:hAnsi="Arial" w:cs="Arial"/>
          <w:sz w:val="22"/>
          <w:szCs w:val="22"/>
          <w:lang w:val="en-US"/>
        </w:rPr>
        <w:t xml:space="preserve"> have</w:t>
      </w:r>
      <w:r>
        <w:rPr>
          <w:rFonts w:ascii="Arial" w:hAnsi="Arial" w:cs="Arial"/>
          <w:sz w:val="22"/>
          <w:szCs w:val="22"/>
          <w:lang w:val="en-US"/>
        </w:rPr>
        <w:t xml:space="preserve"> beg</w:t>
      </w:r>
      <w:r w:rsidR="007D305C">
        <w:rPr>
          <w:rFonts w:ascii="Arial" w:hAnsi="Arial" w:cs="Arial"/>
          <w:sz w:val="22"/>
          <w:szCs w:val="22"/>
          <w:lang w:val="en-US"/>
        </w:rPr>
        <w:t>u</w:t>
      </w:r>
      <w:r>
        <w:rPr>
          <w:rFonts w:ascii="Arial" w:hAnsi="Arial" w:cs="Arial"/>
          <w:sz w:val="22"/>
          <w:szCs w:val="22"/>
          <w:lang w:val="en-US"/>
        </w:rPr>
        <w:t>n improving our procurement process with a focus on reducing emissions associated with purchased good</w:t>
      </w:r>
      <w:r w:rsidR="007D305C">
        <w:rPr>
          <w:rFonts w:ascii="Arial" w:hAnsi="Arial" w:cs="Arial"/>
          <w:sz w:val="22"/>
          <w:szCs w:val="22"/>
          <w:lang w:val="en-US"/>
        </w:rPr>
        <w:t>s</w:t>
      </w:r>
      <w:r>
        <w:rPr>
          <w:rFonts w:ascii="Arial" w:hAnsi="Arial" w:cs="Arial"/>
          <w:sz w:val="22"/>
          <w:szCs w:val="22"/>
          <w:lang w:val="en-US"/>
        </w:rPr>
        <w:t xml:space="preserve"> and services. We implemented a circular economy approach to IT equipment. Refurbished laptops have been purchased and unused IT equipment was donated to the Turing Trust for reuse. According to the Turing Trust </w:t>
      </w:r>
      <w:r>
        <w:rPr>
          <w:rFonts w:ascii="Arial" w:hAnsi="Arial" w:cs="Arial"/>
          <w:b/>
          <w:bCs/>
          <w:sz w:val="22"/>
          <w:szCs w:val="22"/>
          <w:lang w:val="en-US"/>
        </w:rPr>
        <w:t xml:space="preserve">our donation saved </w:t>
      </w:r>
      <w:r>
        <w:rPr>
          <w:rFonts w:ascii="Arial" w:eastAsia="Arial" w:hAnsi="Arial" w:cs="Arial"/>
          <w:b/>
          <w:bCs/>
          <w:sz w:val="22"/>
          <w:szCs w:val="22"/>
          <w:lang w:eastAsia="zh-CN" w:bidi="hi-IN"/>
        </w:rPr>
        <w:t>6 tonnes of CO</w:t>
      </w:r>
      <w:r w:rsidRPr="007D305C">
        <w:rPr>
          <w:rFonts w:ascii="Arial" w:eastAsia="Arial" w:hAnsi="Arial" w:cs="Arial"/>
          <w:b/>
          <w:bCs/>
          <w:sz w:val="22"/>
          <w:szCs w:val="22"/>
          <w:vertAlign w:val="subscript"/>
          <w:lang w:eastAsia="zh-CN" w:bidi="hi-IN"/>
        </w:rPr>
        <w:t>2</w:t>
      </w:r>
      <w:r>
        <w:rPr>
          <w:rFonts w:ascii="Arial" w:eastAsia="Arial" w:hAnsi="Arial" w:cs="Arial"/>
          <w:b/>
          <w:bCs/>
          <w:sz w:val="22"/>
          <w:szCs w:val="22"/>
          <w:lang w:eastAsia="zh-CN" w:bidi="hi-IN"/>
        </w:rPr>
        <w:t xml:space="preserve"> emissions.</w:t>
      </w:r>
    </w:p>
    <w:p w14:paraId="13010189" w14:textId="77777777" w:rsidR="00C268EC" w:rsidRDefault="00C268EC">
      <w:pPr>
        <w:pStyle w:val="BodyText"/>
        <w:spacing w:before="1"/>
        <w:ind w:right="111"/>
        <w:jc w:val="both"/>
        <w:rPr>
          <w:rFonts w:ascii="Arial" w:hAnsi="Arial" w:cs="Arial"/>
          <w:sz w:val="22"/>
          <w:szCs w:val="22"/>
          <w:lang w:val="en-US"/>
        </w:rPr>
      </w:pPr>
    </w:p>
    <w:p w14:paraId="1301018A" w14:textId="77777777" w:rsidR="00C268EC" w:rsidRDefault="005E554F">
      <w:pPr>
        <w:pStyle w:val="BodyText"/>
        <w:spacing w:before="1"/>
        <w:ind w:right="111"/>
        <w:jc w:val="both"/>
        <w:rPr>
          <w:rFonts w:ascii="Arial" w:hAnsi="Arial" w:cs="Arial"/>
          <w:b/>
          <w:bCs/>
          <w:sz w:val="22"/>
          <w:szCs w:val="22"/>
          <w:lang w:val="en-US"/>
        </w:rPr>
      </w:pPr>
      <w:r>
        <w:rPr>
          <w:rFonts w:ascii="Arial" w:hAnsi="Arial" w:cs="Arial"/>
          <w:b/>
          <w:bCs/>
          <w:sz w:val="22"/>
          <w:szCs w:val="22"/>
          <w:lang w:val="en-US"/>
        </w:rPr>
        <w:lastRenderedPageBreak/>
        <w:t xml:space="preserve">Engagement </w:t>
      </w:r>
    </w:p>
    <w:p w14:paraId="1301018B" w14:textId="31FBA84B" w:rsidR="00C268EC" w:rsidRDefault="005E554F">
      <w:pPr>
        <w:pStyle w:val="BodyText"/>
        <w:spacing w:before="1"/>
        <w:ind w:right="111"/>
        <w:jc w:val="both"/>
        <w:rPr>
          <w:rFonts w:ascii="Arial" w:hAnsi="Arial" w:cs="Arial"/>
          <w:sz w:val="22"/>
          <w:szCs w:val="22"/>
        </w:rPr>
      </w:pPr>
      <w:r>
        <w:rPr>
          <w:rFonts w:ascii="Arial" w:hAnsi="Arial" w:cs="Arial"/>
          <w:sz w:val="22"/>
          <w:szCs w:val="22"/>
        </w:rPr>
        <w:t>The Sustainability Committee continue</w:t>
      </w:r>
      <w:r w:rsidR="0044797E">
        <w:rPr>
          <w:rFonts w:ascii="Arial" w:hAnsi="Arial" w:cs="Arial"/>
          <w:sz w:val="22"/>
          <w:szCs w:val="22"/>
        </w:rPr>
        <w:t>s</w:t>
      </w:r>
      <w:r>
        <w:rPr>
          <w:rFonts w:ascii="Arial" w:hAnsi="Arial" w:cs="Arial"/>
          <w:sz w:val="22"/>
          <w:szCs w:val="22"/>
        </w:rPr>
        <w:t xml:space="preserve"> to promote a culture of sustainability. In 2022/23 we engaged with employees through writing blogs, creating vlogs, organising events, producing our quarterly newsletter and ran lunch and learn sessions. </w:t>
      </w:r>
    </w:p>
    <w:p w14:paraId="1301018C" w14:textId="77777777" w:rsidR="00C268EC" w:rsidRDefault="00C268EC">
      <w:pPr>
        <w:pStyle w:val="BodyText"/>
        <w:spacing w:before="1"/>
        <w:ind w:left="720" w:right="111"/>
        <w:jc w:val="both"/>
        <w:rPr>
          <w:rFonts w:ascii="Arial" w:hAnsi="Arial" w:cs="Arial"/>
          <w:sz w:val="22"/>
          <w:szCs w:val="22"/>
        </w:rPr>
      </w:pPr>
    </w:p>
    <w:p w14:paraId="1301018D" w14:textId="118144E8" w:rsidR="00C268EC" w:rsidRDefault="005E554F">
      <w:pPr>
        <w:pStyle w:val="BodyText"/>
        <w:spacing w:before="1"/>
        <w:ind w:right="111"/>
        <w:jc w:val="both"/>
        <w:rPr>
          <w:rFonts w:ascii="Arial" w:eastAsia="Arial" w:hAnsi="Arial" w:cs="Arial"/>
          <w:b/>
          <w:bCs/>
          <w:sz w:val="22"/>
          <w:szCs w:val="22"/>
          <w:lang w:eastAsia="zh-CN" w:bidi="hi-IN"/>
        </w:rPr>
      </w:pPr>
      <w:r>
        <w:rPr>
          <w:rFonts w:ascii="Arial" w:hAnsi="Arial" w:cs="Arial"/>
          <w:sz w:val="22"/>
          <w:szCs w:val="22"/>
        </w:rPr>
        <w:t xml:space="preserve">In September 2022, we partnered with Pawprint. The app helps employees calculate their carbon emissions and change to more sustainable behaviours as the app suggests thousands of actions that reduce environmental impact. </w:t>
      </w:r>
      <w:r>
        <w:rPr>
          <w:rFonts w:ascii="Arial" w:eastAsia="Arial" w:hAnsi="Arial" w:cs="Arial"/>
          <w:b/>
          <w:bCs/>
          <w:sz w:val="22"/>
          <w:szCs w:val="22"/>
          <w:lang w:eastAsia="zh-CN" w:bidi="hi-IN"/>
        </w:rPr>
        <w:t xml:space="preserve">As of </w:t>
      </w:r>
      <w:r w:rsidR="00322856">
        <w:rPr>
          <w:rFonts w:ascii="Arial" w:eastAsia="Arial" w:hAnsi="Arial" w:cs="Arial"/>
          <w:b/>
          <w:bCs/>
          <w:sz w:val="22"/>
          <w:szCs w:val="22"/>
          <w:lang w:eastAsia="zh-CN" w:bidi="hi-IN"/>
        </w:rPr>
        <w:t>September</w:t>
      </w:r>
      <w:r>
        <w:rPr>
          <w:rFonts w:ascii="Arial" w:eastAsia="Arial" w:hAnsi="Arial" w:cs="Arial"/>
          <w:b/>
          <w:bCs/>
          <w:sz w:val="22"/>
          <w:szCs w:val="22"/>
          <w:lang w:eastAsia="zh-CN" w:bidi="hi-IN"/>
        </w:rPr>
        <w:t xml:space="preserve"> 2023, colleagues have saved over </w:t>
      </w:r>
      <w:r w:rsidR="00BF08AA">
        <w:rPr>
          <w:rFonts w:ascii="Arial" w:eastAsia="Arial" w:hAnsi="Arial" w:cs="Arial"/>
          <w:b/>
          <w:bCs/>
          <w:sz w:val="22"/>
          <w:szCs w:val="22"/>
          <w:lang w:eastAsia="zh-CN" w:bidi="hi-IN"/>
        </w:rPr>
        <w:t xml:space="preserve">68 </w:t>
      </w:r>
      <w:r>
        <w:rPr>
          <w:rFonts w:ascii="Arial" w:eastAsia="Arial" w:hAnsi="Arial" w:cs="Arial"/>
          <w:b/>
          <w:bCs/>
          <w:sz w:val="22"/>
          <w:szCs w:val="22"/>
          <w:lang w:eastAsia="zh-CN" w:bidi="hi-IN"/>
        </w:rPr>
        <w:t>tonnes CO2e.</w:t>
      </w:r>
    </w:p>
    <w:p w14:paraId="4304C8F1" w14:textId="77777777" w:rsidR="00AA471D" w:rsidRDefault="00AA471D">
      <w:pPr>
        <w:pStyle w:val="BodyText"/>
        <w:spacing w:before="1"/>
        <w:ind w:right="111"/>
        <w:jc w:val="both"/>
        <w:rPr>
          <w:rFonts w:ascii="Arial" w:eastAsia="Arial" w:hAnsi="Arial" w:cs="Arial"/>
          <w:b/>
          <w:bCs/>
          <w:sz w:val="22"/>
          <w:szCs w:val="22"/>
          <w:lang w:eastAsia="zh-CN" w:bidi="hi-IN"/>
        </w:rPr>
      </w:pPr>
    </w:p>
    <w:p w14:paraId="324CA1D5" w14:textId="6F7BE774" w:rsidR="000C1FA0" w:rsidRPr="00CE5338" w:rsidRDefault="00CF052A" w:rsidP="00CE5338">
      <w:pPr>
        <w:pStyle w:val="BodyText"/>
        <w:spacing w:before="1"/>
        <w:ind w:right="111"/>
        <w:jc w:val="both"/>
      </w:pPr>
      <w:r>
        <w:rPr>
          <w:rFonts w:ascii="Arial" w:eastAsia="Arial" w:hAnsi="Arial" w:cs="Arial"/>
          <w:sz w:val="22"/>
          <w:szCs w:val="22"/>
          <w:lang w:eastAsia="zh-CN" w:bidi="hi-IN"/>
        </w:rPr>
        <w:t>In 2023</w:t>
      </w:r>
      <w:r w:rsidR="0044797E">
        <w:rPr>
          <w:rFonts w:ascii="Arial" w:eastAsia="Arial" w:hAnsi="Arial" w:cs="Arial"/>
          <w:sz w:val="22"/>
          <w:szCs w:val="22"/>
          <w:lang w:eastAsia="zh-CN" w:bidi="hi-IN"/>
        </w:rPr>
        <w:t>,</w:t>
      </w:r>
      <w:r>
        <w:rPr>
          <w:rFonts w:ascii="Arial" w:eastAsia="Arial" w:hAnsi="Arial" w:cs="Arial"/>
          <w:sz w:val="22"/>
          <w:szCs w:val="22"/>
          <w:lang w:eastAsia="zh-CN" w:bidi="hi-IN"/>
        </w:rPr>
        <w:t xml:space="preserve"> we began </w:t>
      </w:r>
      <w:r w:rsidR="001A6DA0">
        <w:rPr>
          <w:rFonts w:ascii="Arial" w:eastAsia="Arial" w:hAnsi="Arial" w:cs="Arial"/>
          <w:sz w:val="22"/>
          <w:szCs w:val="22"/>
          <w:lang w:eastAsia="zh-CN" w:bidi="hi-IN"/>
        </w:rPr>
        <w:t xml:space="preserve">running </w:t>
      </w:r>
      <w:r w:rsidR="00AA471D" w:rsidRPr="00AA471D">
        <w:rPr>
          <w:rFonts w:ascii="Arial" w:eastAsia="Arial" w:hAnsi="Arial" w:cs="Arial"/>
          <w:sz w:val="22"/>
          <w:szCs w:val="22"/>
          <w:lang w:eastAsia="zh-CN" w:bidi="hi-IN"/>
        </w:rPr>
        <w:t xml:space="preserve">Climate Fresk workshops </w:t>
      </w:r>
      <w:r w:rsidR="001A6DA0">
        <w:rPr>
          <w:rFonts w:ascii="Arial" w:eastAsia="Arial" w:hAnsi="Arial" w:cs="Arial"/>
          <w:sz w:val="22"/>
          <w:szCs w:val="22"/>
          <w:lang w:eastAsia="zh-CN" w:bidi="hi-IN"/>
        </w:rPr>
        <w:t>for employees. These collaborat</w:t>
      </w:r>
      <w:r w:rsidR="0044797E">
        <w:rPr>
          <w:rFonts w:ascii="Arial" w:eastAsia="Arial" w:hAnsi="Arial" w:cs="Arial"/>
          <w:sz w:val="22"/>
          <w:szCs w:val="22"/>
          <w:lang w:eastAsia="zh-CN" w:bidi="hi-IN"/>
        </w:rPr>
        <w:t>ive</w:t>
      </w:r>
      <w:r w:rsidR="001A6DA0">
        <w:rPr>
          <w:rFonts w:ascii="Arial" w:eastAsia="Arial" w:hAnsi="Arial" w:cs="Arial"/>
          <w:sz w:val="22"/>
          <w:szCs w:val="22"/>
          <w:lang w:eastAsia="zh-CN" w:bidi="hi-IN"/>
        </w:rPr>
        <w:t xml:space="preserve"> wo</w:t>
      </w:r>
      <w:r w:rsidR="003506F2">
        <w:rPr>
          <w:rFonts w:ascii="Arial" w:eastAsia="Arial" w:hAnsi="Arial" w:cs="Arial"/>
          <w:sz w:val="22"/>
          <w:szCs w:val="22"/>
          <w:lang w:eastAsia="zh-CN" w:bidi="hi-IN"/>
        </w:rPr>
        <w:t>rk</w:t>
      </w:r>
      <w:r w:rsidR="001A6DA0">
        <w:rPr>
          <w:rFonts w:ascii="Arial" w:eastAsia="Arial" w:hAnsi="Arial" w:cs="Arial"/>
          <w:sz w:val="22"/>
          <w:szCs w:val="22"/>
          <w:lang w:eastAsia="zh-CN" w:bidi="hi-IN"/>
        </w:rPr>
        <w:t xml:space="preserve">shops </w:t>
      </w:r>
      <w:r w:rsidR="000C1FA0" w:rsidRPr="00CE5338">
        <w:rPr>
          <w:rFonts w:ascii="Arial" w:eastAsia="Arial" w:hAnsi="Arial" w:cs="Arial"/>
          <w:sz w:val="22"/>
          <w:szCs w:val="22"/>
          <w:lang w:eastAsia="zh-CN" w:bidi="hi-IN"/>
        </w:rPr>
        <w:t xml:space="preserve">teach </w:t>
      </w:r>
      <w:r w:rsidR="00CE5338" w:rsidRPr="00CE5338">
        <w:rPr>
          <w:rFonts w:ascii="Arial" w:eastAsia="Arial" w:hAnsi="Arial" w:cs="Arial"/>
          <w:sz w:val="22"/>
          <w:szCs w:val="22"/>
          <w:lang w:eastAsia="zh-CN" w:bidi="hi-IN"/>
        </w:rPr>
        <w:t xml:space="preserve">employees </w:t>
      </w:r>
      <w:r w:rsidR="000C1FA0" w:rsidRPr="00CE5338">
        <w:rPr>
          <w:rFonts w:ascii="Arial" w:eastAsia="Arial" w:hAnsi="Arial" w:cs="Arial"/>
          <w:sz w:val="22"/>
          <w:szCs w:val="22"/>
          <w:lang w:eastAsia="zh-CN" w:bidi="hi-IN"/>
        </w:rPr>
        <w:t xml:space="preserve">the fundamental science behind climate change and empower </w:t>
      </w:r>
      <w:r w:rsidR="00CE5338" w:rsidRPr="00CE5338">
        <w:rPr>
          <w:rFonts w:ascii="Arial" w:eastAsia="Arial" w:hAnsi="Arial" w:cs="Arial"/>
          <w:sz w:val="22"/>
          <w:szCs w:val="22"/>
          <w:lang w:eastAsia="zh-CN" w:bidi="hi-IN"/>
        </w:rPr>
        <w:t>them</w:t>
      </w:r>
      <w:r w:rsidR="000C1FA0" w:rsidRPr="00CE5338">
        <w:rPr>
          <w:rFonts w:ascii="Arial" w:eastAsia="Arial" w:hAnsi="Arial" w:cs="Arial"/>
          <w:sz w:val="22"/>
          <w:szCs w:val="22"/>
          <w:lang w:eastAsia="zh-CN" w:bidi="hi-IN"/>
        </w:rPr>
        <w:t xml:space="preserve"> to take action.</w:t>
      </w:r>
      <w:r w:rsidR="00CE5338">
        <w:rPr>
          <w:rFonts w:ascii="Arial" w:eastAsia="Arial" w:hAnsi="Arial" w:cs="Arial"/>
          <w:sz w:val="22"/>
          <w:szCs w:val="22"/>
          <w:lang w:eastAsia="zh-CN" w:bidi="hi-IN"/>
        </w:rPr>
        <w:t xml:space="preserve"> We </w:t>
      </w:r>
      <w:r w:rsidR="00BD6D45">
        <w:rPr>
          <w:rFonts w:ascii="Arial" w:eastAsia="Arial" w:hAnsi="Arial" w:cs="Arial"/>
          <w:sz w:val="22"/>
          <w:szCs w:val="22"/>
          <w:lang w:eastAsia="zh-CN" w:bidi="hi-IN"/>
        </w:rPr>
        <w:t xml:space="preserve">now have thirteen trained Climate Fresk facilitators at Energy Saving Trust </w:t>
      </w:r>
      <w:r w:rsidR="002A31EF">
        <w:rPr>
          <w:rFonts w:ascii="Arial" w:eastAsia="Arial" w:hAnsi="Arial" w:cs="Arial"/>
          <w:sz w:val="22"/>
          <w:szCs w:val="22"/>
          <w:lang w:eastAsia="zh-CN" w:bidi="hi-IN"/>
        </w:rPr>
        <w:t xml:space="preserve">which allows us to regularly run workshops and improve </w:t>
      </w:r>
      <w:r w:rsidR="002B0FD6">
        <w:rPr>
          <w:rFonts w:ascii="Arial" w:eastAsia="Arial" w:hAnsi="Arial" w:cs="Arial"/>
          <w:sz w:val="22"/>
          <w:szCs w:val="22"/>
          <w:lang w:eastAsia="zh-CN" w:bidi="hi-IN"/>
        </w:rPr>
        <w:t xml:space="preserve">employee’s understanding of climate change. </w:t>
      </w:r>
      <w:r w:rsidR="002A31EF">
        <w:rPr>
          <w:rFonts w:ascii="Arial" w:eastAsia="Arial" w:hAnsi="Arial" w:cs="Arial"/>
          <w:sz w:val="22"/>
          <w:szCs w:val="22"/>
          <w:lang w:eastAsia="zh-CN" w:bidi="hi-IN"/>
        </w:rPr>
        <w:t xml:space="preserve"> </w:t>
      </w:r>
    </w:p>
    <w:p w14:paraId="2A269DD5" w14:textId="77777777" w:rsidR="004C676B" w:rsidRPr="000C1FA0" w:rsidRDefault="004C676B">
      <w:pPr>
        <w:pStyle w:val="Standard"/>
        <w:spacing w:line="240" w:lineRule="auto"/>
      </w:pPr>
    </w:p>
    <w:p w14:paraId="1301018F" w14:textId="77777777" w:rsidR="00C268EC" w:rsidRDefault="005E554F">
      <w:pPr>
        <w:spacing w:after="300" w:line="242" w:lineRule="auto"/>
        <w:rPr>
          <w:b/>
          <w:bCs/>
        </w:rPr>
      </w:pPr>
      <w:r>
        <w:rPr>
          <w:b/>
          <w:bCs/>
        </w:rPr>
        <w:t>Identification of Future Areas of Action</w:t>
      </w:r>
    </w:p>
    <w:p w14:paraId="13010190" w14:textId="77777777" w:rsidR="00C268EC" w:rsidRDefault="005E554F">
      <w:pPr>
        <w:pStyle w:val="Standard"/>
        <w:spacing w:line="240" w:lineRule="auto"/>
      </w:pPr>
      <w:r>
        <w:t>In the future we hope to implement further measures such as:</w:t>
      </w:r>
    </w:p>
    <w:p w14:paraId="13010191" w14:textId="77777777" w:rsidR="00C268EC" w:rsidRDefault="005E554F">
      <w:pPr>
        <w:pStyle w:val="ListParagraph"/>
        <w:numPr>
          <w:ilvl w:val="0"/>
          <w:numId w:val="8"/>
        </w:numPr>
        <w:spacing w:after="140" w:line="266" w:lineRule="auto"/>
      </w:pPr>
      <w:bookmarkStart w:id="26" w:name="_heading=h.1pxezwc"/>
      <w:bookmarkStart w:id="27" w:name="_heading=h.49x2ik5"/>
      <w:bookmarkEnd w:id="26"/>
      <w:bookmarkEnd w:id="27"/>
      <w:r>
        <w:t>Continue flexible working practices to reduce emissions from commuting.</w:t>
      </w:r>
    </w:p>
    <w:p w14:paraId="13010192" w14:textId="2C749774" w:rsidR="00C268EC" w:rsidRDefault="009566C6">
      <w:pPr>
        <w:pStyle w:val="ListParagraph"/>
        <w:numPr>
          <w:ilvl w:val="0"/>
          <w:numId w:val="8"/>
        </w:numPr>
        <w:spacing w:after="140" w:line="266" w:lineRule="auto"/>
      </w:pPr>
      <w:r>
        <w:t xml:space="preserve">We are moving our </w:t>
      </w:r>
      <w:r w:rsidR="005E554F">
        <w:t xml:space="preserve">Edinburgh office to a building with </w:t>
      </w:r>
      <w:r>
        <w:t xml:space="preserve">an EPC </w:t>
      </w:r>
      <w:r w:rsidR="00B475A9">
        <w:t xml:space="preserve">rating A, </w:t>
      </w:r>
      <w:r w:rsidR="005E554F">
        <w:t xml:space="preserve">better </w:t>
      </w:r>
      <w:r w:rsidR="00B475A9">
        <w:t>active travel facilities</w:t>
      </w:r>
      <w:r w:rsidR="005E554F">
        <w:t xml:space="preserve"> and public transport links. </w:t>
      </w:r>
    </w:p>
    <w:p w14:paraId="13010193" w14:textId="77777777" w:rsidR="00C268EC" w:rsidRDefault="005E554F">
      <w:pPr>
        <w:pStyle w:val="ListParagraph"/>
        <w:numPr>
          <w:ilvl w:val="0"/>
          <w:numId w:val="8"/>
        </w:numPr>
        <w:spacing w:after="140" w:line="266" w:lineRule="auto"/>
      </w:pPr>
      <w:r>
        <w:t>Develop plans to encourage more sustainable commuting practices.</w:t>
      </w:r>
    </w:p>
    <w:p w14:paraId="13010194" w14:textId="77777777" w:rsidR="00C268EC" w:rsidRDefault="005E554F">
      <w:pPr>
        <w:pStyle w:val="ListParagraph"/>
        <w:numPr>
          <w:ilvl w:val="0"/>
          <w:numId w:val="8"/>
        </w:numPr>
        <w:spacing w:after="140" w:line="266" w:lineRule="auto"/>
      </w:pPr>
      <w:r>
        <w:t>Update our procurement strategy to include detailed carbon reporting and management requirements for our suppliers.</w:t>
      </w:r>
    </w:p>
    <w:p w14:paraId="13010195" w14:textId="77777777" w:rsidR="00C268EC" w:rsidRDefault="005E554F">
      <w:pPr>
        <w:pStyle w:val="ListParagraph"/>
        <w:numPr>
          <w:ilvl w:val="0"/>
          <w:numId w:val="8"/>
        </w:numPr>
        <w:spacing w:after="140" w:line="266" w:lineRule="auto"/>
      </w:pPr>
      <w:r>
        <w:t>Update our business travel policy.</w:t>
      </w:r>
    </w:p>
    <w:p w14:paraId="13010196" w14:textId="77777777" w:rsidR="00C268EC" w:rsidRDefault="005E554F">
      <w:pPr>
        <w:pStyle w:val="ListParagraph"/>
        <w:numPr>
          <w:ilvl w:val="0"/>
          <w:numId w:val="8"/>
        </w:numPr>
        <w:spacing w:after="140" w:line="266" w:lineRule="auto"/>
      </w:pPr>
      <w:r>
        <w:t>Increase upper limit for cycle to work scheme.</w:t>
      </w:r>
    </w:p>
    <w:p w14:paraId="13010197" w14:textId="77777777" w:rsidR="00C268EC" w:rsidRDefault="005E554F">
      <w:pPr>
        <w:pStyle w:val="ListParagraph"/>
        <w:numPr>
          <w:ilvl w:val="0"/>
          <w:numId w:val="8"/>
        </w:numPr>
        <w:spacing w:after="140" w:line="266" w:lineRule="auto"/>
      </w:pPr>
      <w:r>
        <w:t>Develop guidelines on carbon efficient homeworking practices.</w:t>
      </w:r>
    </w:p>
    <w:p w14:paraId="13010198" w14:textId="77777777" w:rsidR="00C268EC" w:rsidRDefault="005E554F">
      <w:pPr>
        <w:pStyle w:val="ListParagraph"/>
        <w:numPr>
          <w:ilvl w:val="0"/>
          <w:numId w:val="8"/>
        </w:numPr>
        <w:spacing w:after="140" w:line="266" w:lineRule="auto"/>
      </w:pPr>
      <w:r>
        <w:t>Develop sustainable office practices by improving water and waste policies.</w:t>
      </w:r>
    </w:p>
    <w:p w14:paraId="13010199" w14:textId="77777777" w:rsidR="00C268EC" w:rsidRDefault="005E554F">
      <w:pPr>
        <w:pStyle w:val="ListParagraph"/>
        <w:numPr>
          <w:ilvl w:val="0"/>
          <w:numId w:val="8"/>
        </w:numPr>
        <w:spacing w:after="140" w:line="266" w:lineRule="auto"/>
      </w:pPr>
      <w:r>
        <w:t xml:space="preserve">Become ISO14064-1 certified. </w:t>
      </w:r>
    </w:p>
    <w:p w14:paraId="05857FC7" w14:textId="518EA5C8" w:rsidR="004D3569" w:rsidRDefault="00614CF1" w:rsidP="00614CF1">
      <w:pPr>
        <w:pStyle w:val="ListParagraph"/>
        <w:numPr>
          <w:ilvl w:val="0"/>
          <w:numId w:val="8"/>
        </w:numPr>
        <w:spacing w:line="242" w:lineRule="auto"/>
      </w:pPr>
      <w:r>
        <w:t xml:space="preserve">Review our expenses policy </w:t>
      </w:r>
      <w:r w:rsidR="004D3569">
        <w:t xml:space="preserve">to encourage </w:t>
      </w:r>
      <w:r w:rsidR="0091566D">
        <w:t xml:space="preserve">employees to reduce their environmental impact when travelling for business. </w:t>
      </w:r>
    </w:p>
    <w:p w14:paraId="0687A043" w14:textId="77777777" w:rsidR="00614CF1" w:rsidRDefault="00614CF1" w:rsidP="00614CF1">
      <w:pPr>
        <w:pStyle w:val="ListParagraph"/>
        <w:spacing w:after="140" w:line="266" w:lineRule="auto"/>
      </w:pPr>
    </w:p>
    <w:p w14:paraId="1301019A" w14:textId="77777777" w:rsidR="00C268EC" w:rsidRDefault="00C268EC">
      <w:pPr>
        <w:pStyle w:val="ListParagraph"/>
        <w:spacing w:after="140" w:line="266" w:lineRule="auto"/>
      </w:pPr>
    </w:p>
    <w:p w14:paraId="09456FD6" w14:textId="12D64A4C" w:rsidR="6DE20E92" w:rsidRDefault="6DE20E92">
      <w:r>
        <w:br w:type="page"/>
      </w:r>
    </w:p>
    <w:p w14:paraId="1301019B" w14:textId="77777777" w:rsidR="00C268EC" w:rsidRDefault="005E554F">
      <w:pPr>
        <w:pStyle w:val="Heading1"/>
        <w:keepNext w:val="0"/>
        <w:keepLines w:val="0"/>
        <w:spacing w:before="0" w:line="264" w:lineRule="auto"/>
        <w:jc w:val="both"/>
      </w:pPr>
      <w:r>
        <w:rPr>
          <w:b/>
          <w:sz w:val="28"/>
          <w:szCs w:val="28"/>
        </w:rPr>
        <w:lastRenderedPageBreak/>
        <w:t>Declaration and Sign Off</w:t>
      </w:r>
    </w:p>
    <w:p w14:paraId="1301019C" w14:textId="77777777" w:rsidR="00C268EC" w:rsidRDefault="005E554F">
      <w:pPr>
        <w:pStyle w:val="Standard"/>
        <w:spacing w:after="300" w:line="240" w:lineRule="auto"/>
      </w:pPr>
      <w:r>
        <w:t>This Carbon Reduction Plan has been completed in accordance with PPN 06/21 and associated guidance and reporting standard for Carbon Reduction Plans.</w:t>
      </w:r>
    </w:p>
    <w:p w14:paraId="1301019D" w14:textId="77777777" w:rsidR="00C268EC" w:rsidRDefault="005E554F">
      <w:pPr>
        <w:pStyle w:val="Standard"/>
        <w:spacing w:after="300" w:line="240"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2"/>
      </w:r>
      <w:r>
        <w:rPr>
          <w:color w:val="000000"/>
        </w:rPr>
        <w:t xml:space="preserve"> </w:t>
      </w:r>
      <w:r>
        <w:rPr>
          <w:color w:val="0B0C0C"/>
        </w:rPr>
        <w:t>and uses the appropri</w:t>
      </w:r>
      <w:r>
        <w:rPr>
          <w:color w:val="000000"/>
        </w:rPr>
        <w:t xml:space="preserve">ate </w:t>
      </w:r>
      <w:hyperlink r:id="rId12" w:history="1">
        <w:r>
          <w:rPr>
            <w:color w:val="000000"/>
          </w:rPr>
          <w:t>Government emission conversion factors for greenhouse gas company reporting</w:t>
        </w:r>
      </w:hyperlink>
      <w:r>
        <w:rPr>
          <w:rStyle w:val="FootnoteReference"/>
          <w:color w:val="000000"/>
        </w:rPr>
        <w:footnoteReference w:id="3"/>
      </w:r>
      <w:r>
        <w:rPr>
          <w:color w:val="000000"/>
        </w:rPr>
        <w:t>.</w:t>
      </w:r>
    </w:p>
    <w:p w14:paraId="1301019E" w14:textId="77777777" w:rsidR="00C268EC" w:rsidRDefault="005E554F">
      <w:pPr>
        <w:pStyle w:val="Standard"/>
        <w:spacing w:after="300" w:line="240"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4"/>
      </w:r>
      <w:r>
        <w:rPr>
          <w:color w:val="000000"/>
        </w:rPr>
        <w:t>.</w:t>
      </w:r>
    </w:p>
    <w:p w14:paraId="1301019F" w14:textId="77777777" w:rsidR="00C268EC" w:rsidRDefault="005E554F">
      <w:pPr>
        <w:pStyle w:val="Standard"/>
        <w:spacing w:after="300" w:line="240" w:lineRule="auto"/>
      </w:pPr>
      <w:r>
        <w:rPr>
          <w:color w:val="0B0C0C"/>
        </w:rPr>
        <w:t xml:space="preserve">This Carbon Reduction Plan has been reviewed and signed off </w:t>
      </w:r>
      <w:r>
        <w:t>by the board of directors (or equivalent management body).</w:t>
      </w:r>
      <w:bookmarkStart w:id="28" w:name="_heading=h.2p2csry"/>
      <w:bookmarkEnd w:id="28"/>
    </w:p>
    <w:p w14:paraId="130101A0" w14:textId="3BBE49EA" w:rsidR="00C268EC" w:rsidRDefault="005E554F" w:rsidP="23205900">
      <w:pPr>
        <w:pStyle w:val="Standard"/>
        <w:spacing w:after="300" w:line="240" w:lineRule="auto"/>
        <w:rPr>
          <w:color w:val="0B0C0C"/>
        </w:rPr>
      </w:pPr>
      <w:r>
        <w:t>Signed on behalf of the Supplier:</w:t>
      </w:r>
    </w:p>
    <w:p w14:paraId="130101A1" w14:textId="72A52E3F" w:rsidR="00C268EC" w:rsidRDefault="339387EA">
      <w:pPr>
        <w:pStyle w:val="Standard"/>
        <w:spacing w:after="300" w:line="240" w:lineRule="auto"/>
        <w:rPr>
          <w:color w:val="0B0C0C"/>
        </w:rPr>
      </w:pPr>
      <w:r>
        <w:rPr>
          <w:noProof/>
        </w:rPr>
        <w:drawing>
          <wp:inline distT="0" distB="0" distL="0" distR="0" wp14:anchorId="5652F997" wp14:editId="00366979">
            <wp:extent cx="3000375" cy="1275159"/>
            <wp:effectExtent l="0" t="0" r="0" b="0"/>
            <wp:docPr id="327022262" name="Picture 32702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429668"/>
                    <pic:cNvPicPr/>
                  </pic:nvPicPr>
                  <pic:blipFill>
                    <a:blip r:embed="rId13">
                      <a:extLst>
                        <a:ext uri="{28A0092B-C50C-407E-A947-70E740481C1C}">
                          <a14:useLocalDpi xmlns:a14="http://schemas.microsoft.com/office/drawing/2010/main" val="0"/>
                        </a:ext>
                      </a:extLst>
                    </a:blip>
                    <a:stretch>
                      <a:fillRect/>
                    </a:stretch>
                  </pic:blipFill>
                  <pic:spPr>
                    <a:xfrm>
                      <a:off x="0" y="0"/>
                      <a:ext cx="3000375" cy="1275159"/>
                    </a:xfrm>
                    <a:prstGeom prst="rect">
                      <a:avLst/>
                    </a:prstGeom>
                  </pic:spPr>
                </pic:pic>
              </a:graphicData>
            </a:graphic>
          </wp:inline>
        </w:drawing>
      </w:r>
    </w:p>
    <w:p w14:paraId="130101A2" w14:textId="56B0DED3" w:rsidR="00C268EC" w:rsidRDefault="339387EA">
      <w:pPr>
        <w:pStyle w:val="Standard"/>
        <w:spacing w:after="300" w:line="240" w:lineRule="auto"/>
        <w:rPr>
          <w:color w:val="0B0C0C"/>
        </w:rPr>
      </w:pPr>
      <w:r w:rsidRPr="416B496E">
        <w:rPr>
          <w:color w:val="0B0C0C"/>
        </w:rPr>
        <w:t>Bob Buckley</w:t>
      </w:r>
    </w:p>
    <w:p w14:paraId="130101A3" w14:textId="18F4C52C" w:rsidR="00C268EC" w:rsidRDefault="005E554F">
      <w:pPr>
        <w:pStyle w:val="Standard"/>
        <w:spacing w:after="300" w:line="240" w:lineRule="auto"/>
      </w:pPr>
      <w:r>
        <w:rPr>
          <w:color w:val="0B0C0C"/>
        </w:rPr>
        <w:t>Date:</w:t>
      </w:r>
      <w:r w:rsidR="002E0A9B">
        <w:rPr>
          <w:color w:val="0B0C0C"/>
        </w:rPr>
        <w:t xml:space="preserve"> September 2023</w:t>
      </w:r>
    </w:p>
    <w:p w14:paraId="130101A4" w14:textId="77777777" w:rsidR="00C268EC" w:rsidRDefault="00C268EC">
      <w:pPr>
        <w:pStyle w:val="Standard"/>
        <w:rPr>
          <w:shd w:val="clear" w:color="auto" w:fill="FFFF00"/>
        </w:rPr>
      </w:pPr>
      <w:bookmarkStart w:id="29" w:name="_heading=h.147n2zr"/>
      <w:bookmarkEnd w:id="29"/>
    </w:p>
    <w:p w14:paraId="130101A5" w14:textId="29BE78E4" w:rsidR="00C268EC" w:rsidRDefault="00C268EC">
      <w:pPr>
        <w:pStyle w:val="Standard"/>
      </w:pPr>
    </w:p>
    <w:sectPr w:rsidR="00C268EC">
      <w:headerReference w:type="default" r:id="rId14"/>
      <w:footerReference w:type="defaul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78C6" w14:textId="77777777" w:rsidR="000A6800" w:rsidRDefault="000A6800">
      <w:r>
        <w:separator/>
      </w:r>
    </w:p>
  </w:endnote>
  <w:endnote w:type="continuationSeparator" w:id="0">
    <w:p w14:paraId="0D13D9EC" w14:textId="77777777" w:rsidR="000A6800" w:rsidRDefault="000A6800">
      <w:r>
        <w:continuationSeparator/>
      </w:r>
    </w:p>
  </w:endnote>
  <w:endnote w:type="continuationNotice" w:id="1">
    <w:p w14:paraId="7045FE03" w14:textId="77777777" w:rsidR="000A6800" w:rsidRDefault="000A6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0114" w14:textId="50884BC2" w:rsidR="002054EC" w:rsidRDefault="002E0A9B" w:rsidP="111CC2A5">
    <w:pPr>
      <w:pStyle w:val="Standard"/>
      <w:spacing w:after="120" w:line="264"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B4F6" w14:textId="77777777" w:rsidR="000A6800" w:rsidRDefault="000A6800">
      <w:r>
        <w:rPr>
          <w:color w:val="000000"/>
        </w:rPr>
        <w:separator/>
      </w:r>
    </w:p>
  </w:footnote>
  <w:footnote w:type="continuationSeparator" w:id="0">
    <w:p w14:paraId="1605DFC0" w14:textId="77777777" w:rsidR="000A6800" w:rsidRDefault="000A6800">
      <w:r>
        <w:continuationSeparator/>
      </w:r>
    </w:p>
  </w:footnote>
  <w:footnote w:type="continuationNotice" w:id="1">
    <w:p w14:paraId="2421BA50" w14:textId="77777777" w:rsidR="000A6800" w:rsidRDefault="000A6800"/>
  </w:footnote>
  <w:footnote w:id="2">
    <w:p w14:paraId="1301010D" w14:textId="77777777" w:rsidR="00C268EC" w:rsidRDefault="005E554F">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3">
    <w:p w14:paraId="1301010E" w14:textId="77777777" w:rsidR="00C268EC" w:rsidRDefault="005E554F">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4">
    <w:p w14:paraId="1301010F" w14:textId="77777777" w:rsidR="00C268EC" w:rsidRDefault="005E554F">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0112" w14:textId="50884BC2" w:rsidR="002054EC" w:rsidRDefault="002E0A9B" w:rsidP="111CC2A5">
    <w:pPr>
      <w:pStyle w:val="Standard"/>
      <w:spacing w:after="12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603"/>
    <w:multiLevelType w:val="multilevel"/>
    <w:tmpl w:val="3C808E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5632E8"/>
    <w:multiLevelType w:val="multilevel"/>
    <w:tmpl w:val="48D6A0A8"/>
    <w:lvl w:ilvl="0">
      <w:numFmt w:val="bullet"/>
      <w:lvlText w:val=""/>
      <w:lvlJc w:val="left"/>
      <w:pPr>
        <w:ind w:left="515" w:hanging="360"/>
      </w:pPr>
      <w:rPr>
        <w:rFonts w:ascii="Symbol" w:hAnsi="Symbol"/>
      </w:rPr>
    </w:lvl>
    <w:lvl w:ilvl="1">
      <w:numFmt w:val="bullet"/>
      <w:lvlText w:val="o"/>
      <w:lvlJc w:val="left"/>
      <w:pPr>
        <w:ind w:left="1235" w:hanging="360"/>
      </w:pPr>
      <w:rPr>
        <w:rFonts w:ascii="Courier New" w:hAnsi="Courier New" w:cs="Courier New"/>
      </w:rPr>
    </w:lvl>
    <w:lvl w:ilvl="2">
      <w:numFmt w:val="bullet"/>
      <w:lvlText w:val=""/>
      <w:lvlJc w:val="left"/>
      <w:pPr>
        <w:ind w:left="1955" w:hanging="360"/>
      </w:pPr>
      <w:rPr>
        <w:rFonts w:ascii="Wingdings" w:hAnsi="Wingdings"/>
      </w:rPr>
    </w:lvl>
    <w:lvl w:ilvl="3">
      <w:numFmt w:val="bullet"/>
      <w:lvlText w:val=""/>
      <w:lvlJc w:val="left"/>
      <w:pPr>
        <w:ind w:left="2675" w:hanging="360"/>
      </w:pPr>
      <w:rPr>
        <w:rFonts w:ascii="Symbol" w:hAnsi="Symbol"/>
      </w:rPr>
    </w:lvl>
    <w:lvl w:ilvl="4">
      <w:numFmt w:val="bullet"/>
      <w:lvlText w:val="o"/>
      <w:lvlJc w:val="left"/>
      <w:pPr>
        <w:ind w:left="3395" w:hanging="360"/>
      </w:pPr>
      <w:rPr>
        <w:rFonts w:ascii="Courier New" w:hAnsi="Courier New" w:cs="Courier New"/>
      </w:rPr>
    </w:lvl>
    <w:lvl w:ilvl="5">
      <w:numFmt w:val="bullet"/>
      <w:lvlText w:val=""/>
      <w:lvlJc w:val="left"/>
      <w:pPr>
        <w:ind w:left="4115" w:hanging="360"/>
      </w:pPr>
      <w:rPr>
        <w:rFonts w:ascii="Wingdings" w:hAnsi="Wingdings"/>
      </w:rPr>
    </w:lvl>
    <w:lvl w:ilvl="6">
      <w:numFmt w:val="bullet"/>
      <w:lvlText w:val=""/>
      <w:lvlJc w:val="left"/>
      <w:pPr>
        <w:ind w:left="4835" w:hanging="360"/>
      </w:pPr>
      <w:rPr>
        <w:rFonts w:ascii="Symbol" w:hAnsi="Symbol"/>
      </w:rPr>
    </w:lvl>
    <w:lvl w:ilvl="7">
      <w:numFmt w:val="bullet"/>
      <w:lvlText w:val="o"/>
      <w:lvlJc w:val="left"/>
      <w:pPr>
        <w:ind w:left="5555" w:hanging="360"/>
      </w:pPr>
      <w:rPr>
        <w:rFonts w:ascii="Courier New" w:hAnsi="Courier New" w:cs="Courier New"/>
      </w:rPr>
    </w:lvl>
    <w:lvl w:ilvl="8">
      <w:numFmt w:val="bullet"/>
      <w:lvlText w:val=""/>
      <w:lvlJc w:val="left"/>
      <w:pPr>
        <w:ind w:left="6275" w:hanging="360"/>
      </w:pPr>
      <w:rPr>
        <w:rFonts w:ascii="Wingdings" w:hAnsi="Wingdings"/>
      </w:rPr>
    </w:lvl>
  </w:abstractNum>
  <w:abstractNum w:abstractNumId="2" w15:restartNumberingAfterBreak="0">
    <w:nsid w:val="2773113A"/>
    <w:multiLevelType w:val="multilevel"/>
    <w:tmpl w:val="46520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890530F"/>
    <w:multiLevelType w:val="multilevel"/>
    <w:tmpl w:val="4858DA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D400ACA"/>
    <w:multiLevelType w:val="hybridMultilevel"/>
    <w:tmpl w:val="0C24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D11CFA"/>
    <w:multiLevelType w:val="multilevel"/>
    <w:tmpl w:val="B9E418FC"/>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75538A"/>
    <w:multiLevelType w:val="multilevel"/>
    <w:tmpl w:val="45B0D2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C594399"/>
    <w:multiLevelType w:val="multilevel"/>
    <w:tmpl w:val="000ACA0E"/>
    <w:lvl w:ilvl="0">
      <w:numFmt w:val="bullet"/>
      <w:lvlText w:val=""/>
      <w:lvlJc w:val="left"/>
      <w:pPr>
        <w:ind w:left="515" w:hanging="360"/>
      </w:pPr>
      <w:rPr>
        <w:rFonts w:ascii="Symbol" w:hAnsi="Symbol"/>
      </w:rPr>
    </w:lvl>
    <w:lvl w:ilvl="1">
      <w:numFmt w:val="bullet"/>
      <w:lvlText w:val="o"/>
      <w:lvlJc w:val="left"/>
      <w:pPr>
        <w:ind w:left="1235" w:hanging="360"/>
      </w:pPr>
      <w:rPr>
        <w:rFonts w:ascii="Courier New" w:hAnsi="Courier New" w:cs="Courier New"/>
      </w:rPr>
    </w:lvl>
    <w:lvl w:ilvl="2">
      <w:numFmt w:val="bullet"/>
      <w:lvlText w:val=""/>
      <w:lvlJc w:val="left"/>
      <w:pPr>
        <w:ind w:left="1955" w:hanging="360"/>
      </w:pPr>
      <w:rPr>
        <w:rFonts w:ascii="Wingdings" w:hAnsi="Wingdings"/>
      </w:rPr>
    </w:lvl>
    <w:lvl w:ilvl="3">
      <w:numFmt w:val="bullet"/>
      <w:lvlText w:val=""/>
      <w:lvlJc w:val="left"/>
      <w:pPr>
        <w:ind w:left="2675" w:hanging="360"/>
      </w:pPr>
      <w:rPr>
        <w:rFonts w:ascii="Symbol" w:hAnsi="Symbol"/>
      </w:rPr>
    </w:lvl>
    <w:lvl w:ilvl="4">
      <w:numFmt w:val="bullet"/>
      <w:lvlText w:val="o"/>
      <w:lvlJc w:val="left"/>
      <w:pPr>
        <w:ind w:left="3395" w:hanging="360"/>
      </w:pPr>
      <w:rPr>
        <w:rFonts w:ascii="Courier New" w:hAnsi="Courier New" w:cs="Courier New"/>
      </w:rPr>
    </w:lvl>
    <w:lvl w:ilvl="5">
      <w:numFmt w:val="bullet"/>
      <w:lvlText w:val=""/>
      <w:lvlJc w:val="left"/>
      <w:pPr>
        <w:ind w:left="4115" w:hanging="360"/>
      </w:pPr>
      <w:rPr>
        <w:rFonts w:ascii="Wingdings" w:hAnsi="Wingdings"/>
      </w:rPr>
    </w:lvl>
    <w:lvl w:ilvl="6">
      <w:numFmt w:val="bullet"/>
      <w:lvlText w:val=""/>
      <w:lvlJc w:val="left"/>
      <w:pPr>
        <w:ind w:left="4835" w:hanging="360"/>
      </w:pPr>
      <w:rPr>
        <w:rFonts w:ascii="Symbol" w:hAnsi="Symbol"/>
      </w:rPr>
    </w:lvl>
    <w:lvl w:ilvl="7">
      <w:numFmt w:val="bullet"/>
      <w:lvlText w:val="o"/>
      <w:lvlJc w:val="left"/>
      <w:pPr>
        <w:ind w:left="5555" w:hanging="360"/>
      </w:pPr>
      <w:rPr>
        <w:rFonts w:ascii="Courier New" w:hAnsi="Courier New" w:cs="Courier New"/>
      </w:rPr>
    </w:lvl>
    <w:lvl w:ilvl="8">
      <w:numFmt w:val="bullet"/>
      <w:lvlText w:val=""/>
      <w:lvlJc w:val="left"/>
      <w:pPr>
        <w:ind w:left="6275" w:hanging="360"/>
      </w:pPr>
      <w:rPr>
        <w:rFonts w:ascii="Wingdings" w:hAnsi="Wingdings"/>
      </w:rPr>
    </w:lvl>
  </w:abstractNum>
  <w:num w:numId="1" w16cid:durableId="513039701">
    <w:abstractNumId w:val="3"/>
  </w:num>
  <w:num w:numId="2" w16cid:durableId="1649094722">
    <w:abstractNumId w:val="5"/>
  </w:num>
  <w:num w:numId="3" w16cid:durableId="521405938">
    <w:abstractNumId w:val="5"/>
  </w:num>
  <w:num w:numId="4" w16cid:durableId="1194852486">
    <w:abstractNumId w:val="6"/>
  </w:num>
  <w:num w:numId="5" w16cid:durableId="1558975561">
    <w:abstractNumId w:val="1"/>
  </w:num>
  <w:num w:numId="6" w16cid:durableId="2083867392">
    <w:abstractNumId w:val="7"/>
  </w:num>
  <w:num w:numId="7" w16cid:durableId="1356151858">
    <w:abstractNumId w:val="0"/>
  </w:num>
  <w:num w:numId="8" w16cid:durableId="1264416525">
    <w:abstractNumId w:val="2"/>
  </w:num>
  <w:num w:numId="9" w16cid:durableId="2106999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EC"/>
    <w:rsid w:val="00001E05"/>
    <w:rsid w:val="000258BD"/>
    <w:rsid w:val="0003257D"/>
    <w:rsid w:val="000435C7"/>
    <w:rsid w:val="0005039A"/>
    <w:rsid w:val="000629F3"/>
    <w:rsid w:val="000A6800"/>
    <w:rsid w:val="000B4D35"/>
    <w:rsid w:val="000B54A1"/>
    <w:rsid w:val="000C1FA0"/>
    <w:rsid w:val="000C33F3"/>
    <w:rsid w:val="000C35CD"/>
    <w:rsid w:val="000E3BEF"/>
    <w:rsid w:val="000F0BD0"/>
    <w:rsid w:val="001656FF"/>
    <w:rsid w:val="00196D27"/>
    <w:rsid w:val="001A4422"/>
    <w:rsid w:val="001A6DA0"/>
    <w:rsid w:val="001B453B"/>
    <w:rsid w:val="001C7EC1"/>
    <w:rsid w:val="001D6DE2"/>
    <w:rsid w:val="00203A88"/>
    <w:rsid w:val="002147BC"/>
    <w:rsid w:val="002301E8"/>
    <w:rsid w:val="0023139B"/>
    <w:rsid w:val="00234792"/>
    <w:rsid w:val="00253575"/>
    <w:rsid w:val="00261DCC"/>
    <w:rsid w:val="00267606"/>
    <w:rsid w:val="00267912"/>
    <w:rsid w:val="002716E4"/>
    <w:rsid w:val="00275D20"/>
    <w:rsid w:val="00284D69"/>
    <w:rsid w:val="002A31EF"/>
    <w:rsid w:val="002B0FD6"/>
    <w:rsid w:val="002B1A51"/>
    <w:rsid w:val="002E0A9B"/>
    <w:rsid w:val="002F7031"/>
    <w:rsid w:val="00314040"/>
    <w:rsid w:val="00322856"/>
    <w:rsid w:val="00322B64"/>
    <w:rsid w:val="00322EE9"/>
    <w:rsid w:val="0033266A"/>
    <w:rsid w:val="00332D1D"/>
    <w:rsid w:val="003449F0"/>
    <w:rsid w:val="003506F2"/>
    <w:rsid w:val="00375465"/>
    <w:rsid w:val="00391612"/>
    <w:rsid w:val="003A0FA5"/>
    <w:rsid w:val="003B159A"/>
    <w:rsid w:val="003B36A3"/>
    <w:rsid w:val="003C4C41"/>
    <w:rsid w:val="00403CEB"/>
    <w:rsid w:val="00417E9B"/>
    <w:rsid w:val="00445D44"/>
    <w:rsid w:val="0044797E"/>
    <w:rsid w:val="00450E63"/>
    <w:rsid w:val="00451CC1"/>
    <w:rsid w:val="00475517"/>
    <w:rsid w:val="004B5F6A"/>
    <w:rsid w:val="004C676B"/>
    <w:rsid w:val="004D3569"/>
    <w:rsid w:val="00511E6E"/>
    <w:rsid w:val="0053122F"/>
    <w:rsid w:val="00531A6D"/>
    <w:rsid w:val="005433E7"/>
    <w:rsid w:val="005A7381"/>
    <w:rsid w:val="005E554F"/>
    <w:rsid w:val="005F532E"/>
    <w:rsid w:val="00614CF1"/>
    <w:rsid w:val="00624AE3"/>
    <w:rsid w:val="00656B07"/>
    <w:rsid w:val="0068052D"/>
    <w:rsid w:val="006846F2"/>
    <w:rsid w:val="006E3506"/>
    <w:rsid w:val="006E73CD"/>
    <w:rsid w:val="006F73CB"/>
    <w:rsid w:val="00773F7A"/>
    <w:rsid w:val="00775A67"/>
    <w:rsid w:val="007B7391"/>
    <w:rsid w:val="007D305C"/>
    <w:rsid w:val="007D502E"/>
    <w:rsid w:val="007D63A4"/>
    <w:rsid w:val="007E7C10"/>
    <w:rsid w:val="007F283A"/>
    <w:rsid w:val="008157BC"/>
    <w:rsid w:val="008173CE"/>
    <w:rsid w:val="0082317C"/>
    <w:rsid w:val="00830203"/>
    <w:rsid w:val="00863BA1"/>
    <w:rsid w:val="00871F46"/>
    <w:rsid w:val="00872CC5"/>
    <w:rsid w:val="00876CC5"/>
    <w:rsid w:val="008C4BD3"/>
    <w:rsid w:val="008C50FA"/>
    <w:rsid w:val="00904307"/>
    <w:rsid w:val="00905164"/>
    <w:rsid w:val="0091566D"/>
    <w:rsid w:val="00931A4E"/>
    <w:rsid w:val="00945CFF"/>
    <w:rsid w:val="009533C1"/>
    <w:rsid w:val="009566C6"/>
    <w:rsid w:val="00990976"/>
    <w:rsid w:val="009931A9"/>
    <w:rsid w:val="009B1F2A"/>
    <w:rsid w:val="009C1E7F"/>
    <w:rsid w:val="009C627B"/>
    <w:rsid w:val="009D449F"/>
    <w:rsid w:val="009F6048"/>
    <w:rsid w:val="009F7865"/>
    <w:rsid w:val="00A3426F"/>
    <w:rsid w:val="00A65926"/>
    <w:rsid w:val="00A709BD"/>
    <w:rsid w:val="00A710B7"/>
    <w:rsid w:val="00AA471D"/>
    <w:rsid w:val="00AB5990"/>
    <w:rsid w:val="00AC1911"/>
    <w:rsid w:val="00AD7CE1"/>
    <w:rsid w:val="00B475A9"/>
    <w:rsid w:val="00B52194"/>
    <w:rsid w:val="00B549C7"/>
    <w:rsid w:val="00B6666E"/>
    <w:rsid w:val="00B76ED1"/>
    <w:rsid w:val="00B91C10"/>
    <w:rsid w:val="00B94EB9"/>
    <w:rsid w:val="00B96DA6"/>
    <w:rsid w:val="00BA1176"/>
    <w:rsid w:val="00BA5BF1"/>
    <w:rsid w:val="00BA7D77"/>
    <w:rsid w:val="00BB3EF9"/>
    <w:rsid w:val="00BC7BAE"/>
    <w:rsid w:val="00BD6D45"/>
    <w:rsid w:val="00BF08AA"/>
    <w:rsid w:val="00BF0E1B"/>
    <w:rsid w:val="00C268EC"/>
    <w:rsid w:val="00C34C50"/>
    <w:rsid w:val="00C41EB4"/>
    <w:rsid w:val="00C672F1"/>
    <w:rsid w:val="00C70203"/>
    <w:rsid w:val="00C71306"/>
    <w:rsid w:val="00C74693"/>
    <w:rsid w:val="00C7652D"/>
    <w:rsid w:val="00C93FC2"/>
    <w:rsid w:val="00C97E5E"/>
    <w:rsid w:val="00CB51B8"/>
    <w:rsid w:val="00CE5338"/>
    <w:rsid w:val="00CE6EFC"/>
    <w:rsid w:val="00CF052A"/>
    <w:rsid w:val="00D02AE8"/>
    <w:rsid w:val="00D17309"/>
    <w:rsid w:val="00D36D4D"/>
    <w:rsid w:val="00D36DE5"/>
    <w:rsid w:val="00D4239C"/>
    <w:rsid w:val="00D45029"/>
    <w:rsid w:val="00D45606"/>
    <w:rsid w:val="00D51457"/>
    <w:rsid w:val="00D608B0"/>
    <w:rsid w:val="00D723C8"/>
    <w:rsid w:val="00DA0CC0"/>
    <w:rsid w:val="00DB3CDE"/>
    <w:rsid w:val="00DB44CB"/>
    <w:rsid w:val="00E32377"/>
    <w:rsid w:val="00E67D54"/>
    <w:rsid w:val="00EB4DEF"/>
    <w:rsid w:val="00F05C11"/>
    <w:rsid w:val="00F11B1C"/>
    <w:rsid w:val="00F350B2"/>
    <w:rsid w:val="00F45F91"/>
    <w:rsid w:val="00F47542"/>
    <w:rsid w:val="00F54BAC"/>
    <w:rsid w:val="00F63164"/>
    <w:rsid w:val="00F64674"/>
    <w:rsid w:val="00F77B20"/>
    <w:rsid w:val="00FA28BC"/>
    <w:rsid w:val="00FA7C5B"/>
    <w:rsid w:val="00FB68DE"/>
    <w:rsid w:val="00FC377C"/>
    <w:rsid w:val="00FD18AB"/>
    <w:rsid w:val="08693DB0"/>
    <w:rsid w:val="111CC2A5"/>
    <w:rsid w:val="17DDAD00"/>
    <w:rsid w:val="1D3A7489"/>
    <w:rsid w:val="1D88551D"/>
    <w:rsid w:val="23205900"/>
    <w:rsid w:val="28CF7D6C"/>
    <w:rsid w:val="2BAD72DF"/>
    <w:rsid w:val="339387EA"/>
    <w:rsid w:val="36D00CBD"/>
    <w:rsid w:val="416B496E"/>
    <w:rsid w:val="4682B680"/>
    <w:rsid w:val="4A792E0E"/>
    <w:rsid w:val="4FBFBB2F"/>
    <w:rsid w:val="56154441"/>
    <w:rsid w:val="5ADA3D14"/>
    <w:rsid w:val="5CEF89CA"/>
    <w:rsid w:val="655B23FC"/>
    <w:rsid w:val="6DE20E92"/>
    <w:rsid w:val="75616C31"/>
    <w:rsid w:val="783CB40F"/>
    <w:rsid w:val="79E85E81"/>
    <w:rsid w:val="7C9D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0104"/>
  <w15:docId w15:val="{71E7FB34-E25B-44D4-9136-2EFF079E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4"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paragraph" w:styleId="ListParagraph">
    <w:name w:val="List Paragraph"/>
    <w:basedOn w:val="Normal"/>
    <w:link w:val="ListParagraphChar"/>
    <w:uiPriority w:val="34"/>
    <w:qFormat/>
    <w:pPr>
      <w:suppressAutoHyphens w:val="0"/>
      <w:spacing w:line="276" w:lineRule="auto"/>
      <w:ind w:left="720"/>
      <w:contextualSpacing/>
      <w:textAlignment w:val="auto"/>
    </w:pPr>
    <w:rPr>
      <w:lang w:eastAsia="en-US" w:bidi="ar-SA"/>
    </w:rPr>
  </w:style>
  <w:style w:type="paragraph" w:styleId="BodyText">
    <w:name w:val="Body Text"/>
    <w:basedOn w:val="Normal"/>
    <w:pPr>
      <w:suppressAutoHyphens w:val="0"/>
      <w:textAlignment w:val="auto"/>
    </w:pPr>
    <w:rPr>
      <w:rFonts w:ascii="Calibri" w:eastAsia="Calibri" w:hAnsi="Calibri" w:cs="Calibri"/>
      <w:sz w:val="20"/>
      <w:szCs w:val="20"/>
      <w:lang w:eastAsia="en-US" w:bidi="ar-SA"/>
    </w:rPr>
  </w:style>
  <w:style w:type="character" w:customStyle="1" w:styleId="BodyTextChar">
    <w:name w:val="Body Text Char"/>
    <w:basedOn w:val="DefaultParagraphFont"/>
    <w:rPr>
      <w:rFonts w:ascii="Calibri" w:eastAsia="Calibri" w:hAnsi="Calibri" w:cs="Calibri"/>
      <w:sz w:val="20"/>
      <w:szCs w:val="20"/>
      <w:lang w:eastAsia="en-US" w:bidi="ar-SA"/>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paragraph" w:styleId="CommentSubject">
    <w:name w:val="annotation subject"/>
    <w:basedOn w:val="CommentText"/>
    <w:next w:val="CommentText"/>
    <w:rPr>
      <w:rFonts w:cs="Mangal"/>
      <w:b/>
      <w:bCs/>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rFonts w:cs="Mangal"/>
      <w:b/>
      <w:bCs/>
      <w:sz w:val="20"/>
      <w:szCs w:val="1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customStyle="1" w:styleId="ListParagraphChar">
    <w:name w:val="List Paragraph Char"/>
    <w:basedOn w:val="DefaultParagraphFont"/>
    <w:link w:val="ListParagraph"/>
    <w:uiPriority w:val="34"/>
    <w:locked/>
    <w:rsid w:val="00B94EB9"/>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government-conversion-factors-for-company-repor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nergysavingtrust-my.sharepoint.com/personal/jennifer_cameron_est_org_uk/Documents/Documents/Net%20Zero/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Emissions Reduction: Target vs. Actual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actual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Sheet1!$A$2:$A$27</c:f>
              <c:numCache>
                <c:formatCode>General</c:formatCode>
                <c:ptCount val="2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numCache>
            </c:numRef>
          </c:cat>
          <c:val>
            <c:numRef>
              <c:f>Sheet1!$B$2:$B$27</c:f>
              <c:numCache>
                <c:formatCode>General</c:formatCode>
                <c:ptCount val="26"/>
                <c:pt idx="0">
                  <c:v>2580.2399999999998</c:v>
                </c:pt>
                <c:pt idx="1">
                  <c:v>3702.85</c:v>
                </c:pt>
                <c:pt idx="2">
                  <c:v>4199.07</c:v>
                </c:pt>
              </c:numCache>
            </c:numRef>
          </c:val>
          <c:smooth val="0"/>
          <c:extLst>
            <c:ext xmlns:c16="http://schemas.microsoft.com/office/drawing/2014/chart" uri="{C3380CC4-5D6E-409C-BE32-E72D297353CC}">
              <c16:uniqueId val="{00000000-DDBB-48AE-8BED-62D81F62A5A3}"/>
            </c:ext>
          </c:extLst>
        </c:ser>
        <c:ser>
          <c:idx val="1"/>
          <c:order val="1"/>
          <c:tx>
            <c:strRef>
              <c:f>Sheet1!$C$1</c:f>
              <c:strCache>
                <c:ptCount val="1"/>
                <c:pt idx="0">
                  <c:v>target</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trendline>
            <c:name>Target emissions reduction</c:name>
            <c:spPr>
              <a:ln w="19050" cap="rnd">
                <a:solidFill>
                  <a:srgbClr val="FF0000"/>
                </a:solidFill>
                <a:prstDash val="sysDot"/>
              </a:ln>
              <a:effectLst/>
            </c:spPr>
            <c:trendlineType val="linear"/>
            <c:dispRSqr val="0"/>
            <c:dispEq val="0"/>
          </c:trendline>
          <c:cat>
            <c:numRef>
              <c:f>Sheet1!$A$2:$A$27</c:f>
              <c:numCache>
                <c:formatCode>General</c:formatCode>
                <c:ptCount val="2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numCache>
            </c:numRef>
          </c:cat>
          <c:val>
            <c:numRef>
              <c:f>Sheet1!$C$2:$C$27</c:f>
              <c:numCache>
                <c:formatCode>General</c:formatCode>
                <c:ptCount val="26"/>
                <c:pt idx="0">
                  <c:v>2580.2399999999998</c:v>
                </c:pt>
                <c:pt idx="25">
                  <c:v>0</c:v>
                </c:pt>
              </c:numCache>
            </c:numRef>
          </c:val>
          <c:smooth val="0"/>
          <c:extLst>
            <c:ext xmlns:c16="http://schemas.microsoft.com/office/drawing/2014/chart" uri="{C3380CC4-5D6E-409C-BE32-E72D297353CC}">
              <c16:uniqueId val="{00000002-DDBB-48AE-8BED-62D81F62A5A3}"/>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637958239"/>
        <c:axId val="1637954879"/>
      </c:lineChart>
      <c:catAx>
        <c:axId val="163795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954879"/>
        <c:crosses val="autoZero"/>
        <c:auto val="1"/>
        <c:lblAlgn val="ctr"/>
        <c:lblOffset val="100"/>
        <c:noMultiLvlLbl val="0"/>
      </c:catAx>
      <c:valAx>
        <c:axId val="1637954879"/>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 (tCO2e)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958239"/>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339A1CC05C5449BF979CA40E96C03" ma:contentTypeVersion="6" ma:contentTypeDescription="Create a new document." ma:contentTypeScope="" ma:versionID="91367f81c51e56c3a90f42c45a5c6cda">
  <xsd:schema xmlns:xsd="http://www.w3.org/2001/XMLSchema" xmlns:xs="http://www.w3.org/2001/XMLSchema" xmlns:p="http://schemas.microsoft.com/office/2006/metadata/properties" xmlns:ns2="a5d9db7c-48eb-49da-a283-58f3b58d9e76" xmlns:ns3="7d79c915-77f1-4637-9651-b7df076a0ed9" targetNamespace="http://schemas.microsoft.com/office/2006/metadata/properties" ma:root="true" ma:fieldsID="258f5bebb97e83d65cea7b9563fdc417" ns2:_="" ns3:_="">
    <xsd:import namespace="a5d9db7c-48eb-49da-a283-58f3b58d9e76"/>
    <xsd:import namespace="7d79c915-77f1-4637-9651-b7df076a0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9db7c-48eb-49da-a283-58f3b58d9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9c915-77f1-4637-9651-b7df076a0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D0429-6A5C-4D29-AFB8-7903B09B6B3F}">
  <ds:schemaRefs>
    <ds:schemaRef ds:uri="http://schemas.microsoft.com/sharepoint/v3/contenttype/forms"/>
  </ds:schemaRefs>
</ds:datastoreItem>
</file>

<file path=customXml/itemProps2.xml><?xml version="1.0" encoding="utf-8"?>
<ds:datastoreItem xmlns:ds="http://schemas.openxmlformats.org/officeDocument/2006/customXml" ds:itemID="{77FEEF5C-91E0-4350-ADEF-D2AB24598E41}">
  <ds:schemaRefs>
    <ds:schemaRef ds:uri="http://schemas.microsoft.com/office/infopath/2007/PartnerControls"/>
    <ds:schemaRef ds:uri="7d79c915-77f1-4637-9651-b7df076a0ed9"/>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a5d9db7c-48eb-49da-a283-58f3b58d9e76"/>
    <ds:schemaRef ds:uri="http://schemas.openxmlformats.org/package/2006/metadata/core-properties"/>
  </ds:schemaRefs>
</ds:datastoreItem>
</file>

<file path=customXml/itemProps3.xml><?xml version="1.0" encoding="utf-8"?>
<ds:datastoreItem xmlns:ds="http://schemas.openxmlformats.org/officeDocument/2006/customXml" ds:itemID="{AC69DF48-714F-443C-98E0-7F193BCE7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9db7c-48eb-49da-a283-58f3b58d9e76"/>
    <ds:schemaRef ds:uri="7d79c915-77f1-4637-9651-b7df076a0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1483</Words>
  <Characters>8459</Characters>
  <Application>Microsoft Office Word</Application>
  <DocSecurity>0</DocSecurity>
  <Lines>70</Lines>
  <Paragraphs>19</Paragraphs>
  <ScaleCrop>false</ScaleCrop>
  <Company>Energy Savings Trust</Company>
  <LinksUpToDate>false</LinksUpToDate>
  <CharactersWithSpaces>9923</CharactersWithSpaces>
  <SharedDoc>false</SharedDoc>
  <HLinks>
    <vt:vector size="24" baseType="variant">
      <vt:variant>
        <vt:i4>852063</vt:i4>
      </vt:variant>
      <vt:variant>
        <vt:i4>0</vt:i4>
      </vt:variant>
      <vt:variant>
        <vt:i4>0</vt:i4>
      </vt:variant>
      <vt:variant>
        <vt:i4>5</vt:i4>
      </vt:variant>
      <vt:variant>
        <vt:lpwstr>https://www.gov.uk/government/collections/government-conversion-factors-for-company-reporting</vt:lpwstr>
      </vt:variant>
      <vt:variant>
        <vt:lpwstr/>
      </vt:variant>
      <vt:variant>
        <vt:i4>2687096</vt:i4>
      </vt:variant>
      <vt:variant>
        <vt:i4>6</vt:i4>
      </vt:variant>
      <vt:variant>
        <vt:i4>0</vt:i4>
      </vt:variant>
      <vt:variant>
        <vt:i4>5</vt:i4>
      </vt:variant>
      <vt:variant>
        <vt:lpwstr>https://ghgprotocol.org/standards/scope-3-standard</vt:lpwstr>
      </vt:variant>
      <vt:variant>
        <vt:lpwstr/>
      </vt:variant>
      <vt:variant>
        <vt:i4>852063</vt:i4>
      </vt:variant>
      <vt:variant>
        <vt:i4>3</vt:i4>
      </vt:variant>
      <vt:variant>
        <vt:i4>0</vt:i4>
      </vt:variant>
      <vt:variant>
        <vt:i4>5</vt:i4>
      </vt:variant>
      <vt:variant>
        <vt:lpwstr>https://www.gov.uk/government/collections/government-conversion-factors-for-company-reporting</vt:lpwstr>
      </vt:variant>
      <vt:variant>
        <vt:lpwstr/>
      </vt:variant>
      <vt:variant>
        <vt:i4>4063295</vt:i4>
      </vt:variant>
      <vt:variant>
        <vt:i4>0</vt:i4>
      </vt:variant>
      <vt:variant>
        <vt:i4>0</vt:i4>
      </vt:variant>
      <vt:variant>
        <vt:i4>5</vt:i4>
      </vt:variant>
      <vt:variant>
        <vt:lpwstr>https://ghgprotocol.org/corporate-standard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Cameron</dc:creator>
  <cp:keywords/>
  <dc:description/>
  <cp:lastModifiedBy>Jennifer Cameron</cp:lastModifiedBy>
  <cp:revision>111</cp:revision>
  <dcterms:created xsi:type="dcterms:W3CDTF">2023-09-11T09:30:00Z</dcterms:created>
  <dcterms:modified xsi:type="dcterms:W3CDTF">2023-09-20T08:13:00Z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3af5e9-9912-4d94-ae30-baaf73e2d91f_Enabled">
    <vt:lpwstr>true</vt:lpwstr>
  </property>
  <property fmtid="{D5CDD505-2E9C-101B-9397-08002B2CF9AE}" pid="3" name="MSIP_Label_993af5e9-9912-4d94-ae30-baaf73e2d91f_SetDate">
    <vt:lpwstr>2023-06-29T10:28:39Z</vt:lpwstr>
  </property>
  <property fmtid="{D5CDD505-2E9C-101B-9397-08002B2CF9AE}" pid="4" name="MSIP_Label_993af5e9-9912-4d94-ae30-baaf73e2d91f_Method">
    <vt:lpwstr>Standard</vt:lpwstr>
  </property>
  <property fmtid="{D5CDD505-2E9C-101B-9397-08002B2CF9AE}" pid="5" name="MSIP_Label_993af5e9-9912-4d94-ae30-baaf73e2d91f_Name">
    <vt:lpwstr>Internal</vt:lpwstr>
  </property>
  <property fmtid="{D5CDD505-2E9C-101B-9397-08002B2CF9AE}" pid="6" name="MSIP_Label_993af5e9-9912-4d94-ae30-baaf73e2d91f_SiteId">
    <vt:lpwstr>3c384161-3b62-4d05-9486-5295b766e36c</vt:lpwstr>
  </property>
  <property fmtid="{D5CDD505-2E9C-101B-9397-08002B2CF9AE}" pid="7" name="MSIP_Label_993af5e9-9912-4d94-ae30-baaf73e2d91f_ActionId">
    <vt:lpwstr>4d52d7ae-efcf-45ee-9de9-cb63e5b1efba</vt:lpwstr>
  </property>
  <property fmtid="{D5CDD505-2E9C-101B-9397-08002B2CF9AE}" pid="8" name="MSIP_Label_993af5e9-9912-4d94-ae30-baaf73e2d91f_ContentBits">
    <vt:lpwstr>2</vt:lpwstr>
  </property>
  <property fmtid="{D5CDD505-2E9C-101B-9397-08002B2CF9AE}" pid="9" name="ContentTypeId">
    <vt:lpwstr>0x010100BA0339A1CC05C5449BF979CA40E96C03</vt:lpwstr>
  </property>
</Properties>
</file>